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ascii="方正小标宋简体" w:hAnsi="黑体" w:eastAsia="方正小标宋简体"/>
          <w:color w:val="FF0000"/>
          <w:w w:val="78"/>
          <w:sz w:val="72"/>
          <w:szCs w:val="72"/>
        </w:rPr>
      </w:pPr>
      <w:r>
        <w:rPr>
          <w:rFonts w:hint="eastAsia" w:ascii="方正小标宋简体" w:hAnsi="黑体" w:eastAsia="方正小标宋简体"/>
          <w:color w:val="FF0000"/>
          <w:w w:val="78"/>
          <w:sz w:val="72"/>
          <w:szCs w:val="72"/>
        </w:rPr>
        <w:t>读者出版传媒股份有限公司</w:t>
      </w:r>
    </w:p>
    <w:p>
      <w:pPr>
        <w:spacing w:line="580" w:lineRule="exact"/>
        <w:rPr>
          <w:rFonts w:ascii="华文中宋" w:hAnsi="华文中宋" w:eastAsia="华文中宋"/>
          <w:color w:val="000000" w:themeColor="text1"/>
          <w:w w:val="80"/>
          <w:sz w:val="32"/>
          <w:szCs w:val="32"/>
          <w14:textFill>
            <w14:solidFill>
              <w14:schemeClr w14:val="tx1"/>
            </w14:solidFill>
          </w14:textFill>
        </w:rPr>
      </w:pPr>
      <w:r>
        <w:rPr>
          <w:rFonts w:hint="eastAsia"/>
        </w:rPr>
        <mc:AlternateContent>
          <mc:Choice Requires="wps">
            <w:drawing>
              <wp:anchor distT="0" distB="0" distL="114300" distR="114300" simplePos="0" relativeHeight="251665408" behindDoc="0" locked="0" layoutInCell="1" allowOverlap="1">
                <wp:simplePos x="0" y="0"/>
                <wp:positionH relativeFrom="column">
                  <wp:posOffset>-20320</wp:posOffset>
                </wp:positionH>
                <wp:positionV relativeFrom="paragraph">
                  <wp:posOffset>172085</wp:posOffset>
                </wp:positionV>
                <wp:extent cx="5400675" cy="1905"/>
                <wp:effectExtent l="0" t="0" r="9525" b="3619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400675" cy="1905"/>
                        </a:xfrm>
                        <a:prstGeom prst="line">
                          <a:avLst/>
                        </a:prstGeom>
                        <a:noFill/>
                        <a:ln w="15875" cmpd="thickThin">
                          <a:solidFill>
                            <a:srgbClr val="FF0000"/>
                          </a:solidFill>
                          <a:round/>
                        </a:ln>
                      </wps:spPr>
                      <wps:bodyPr/>
                    </wps:wsp>
                  </a:graphicData>
                </a:graphic>
              </wp:anchor>
            </w:drawing>
          </mc:Choice>
          <mc:Fallback>
            <w:pict>
              <v:line id="_x0000_s1026" o:spid="_x0000_s1026" o:spt="20" style="position:absolute;left:0pt;margin-left:-1.6pt;margin-top:13.55pt;height:0.15pt;width:425.25pt;z-index:251665408;mso-width-relative:page;mso-height-relative:page;" filled="f" stroked="t" coordsize="21600,21600" o:gfxdata="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JHSAfYAAAACAEAAA8AAAAAAAAAAQAgAAAAIgAAAGRycy9kb3ducmV2LnhtbFBLAQIU&#10;ABQAAAAIAIdO4kCKVHuD8wEAAL8DAAAOAAAAAAAAAAEAIAAAACcBAABkcnMvZTJvRG9jLnhtbFBL&#10;BQYAAAAABgAGAFkBAACMBQAAAAA=&#10;">
                <v:fill on="f" focussize="0,0"/>
                <v:stroke weight="1.25pt" color="#FF0000" linestyle="thickThin" joinstyle="round"/>
                <v:imagedata o:title=""/>
                <o:lock v:ext="edit" aspectratio="f"/>
              </v:line>
            </w:pict>
          </mc:Fallback>
        </mc:AlternateContent>
      </w:r>
      <w:r>
        <w:rPr>
          <w:rFonts w:hint="eastAsia"/>
        </w:rPr>
        <mc:AlternateContent>
          <mc:Choice Requires="wps">
            <w:drawing>
              <wp:anchor distT="0" distB="0" distL="114300" distR="114300" simplePos="0" relativeHeight="251666432" behindDoc="0" locked="0" layoutInCell="1" allowOverlap="1">
                <wp:simplePos x="0" y="0"/>
                <wp:positionH relativeFrom="column">
                  <wp:posOffset>-20320</wp:posOffset>
                </wp:positionH>
                <wp:positionV relativeFrom="paragraph">
                  <wp:posOffset>75565</wp:posOffset>
                </wp:positionV>
                <wp:extent cx="5400675" cy="1905"/>
                <wp:effectExtent l="0" t="19050" r="9525" b="36195"/>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400675" cy="1905"/>
                        </a:xfrm>
                        <a:prstGeom prst="line">
                          <a:avLst/>
                        </a:prstGeom>
                        <a:noFill/>
                        <a:ln w="28575">
                          <a:solidFill>
                            <a:srgbClr val="FF0000"/>
                          </a:solidFill>
                          <a:round/>
                        </a:ln>
                      </wps:spPr>
                      <wps:bodyPr/>
                    </wps:wsp>
                  </a:graphicData>
                </a:graphic>
              </wp:anchor>
            </w:drawing>
          </mc:Choice>
          <mc:Fallback>
            <w:pict>
              <v:line id="_x0000_s1026" o:spid="_x0000_s1026" o:spt="20" style="position:absolute;left:0pt;margin-left:-1.6pt;margin-top:5.95pt;height:0.15pt;width:425.25pt;z-index:251666432;mso-width-relative:page;mso-height-relative:page;" filled="f" stroked="t" coordsize="21600,21600" o:gfxdata="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5yUs7W&#10;AAAACAEAAA8AAAAAAAAAAQAgAAAAIgAAAGRycy9kb3ducmV2LnhtbFBLAQIUABQAAAAIAIdO4kAP&#10;C8WH6QEAAK4DAAAOAAAAAAAAAAEAIAAAACUBAABkcnMvZTJvRG9jLnhtbFBLBQYAAAAABgAGAFkB&#10;AACABQAAAAA=&#10;">
                <v:fill on="f" focussize="0,0"/>
                <v:stroke weight="2.25pt" color="#FF0000" joinstyle="round"/>
                <v:imagedata o:title=""/>
                <o:lock v:ext="edit" aspectratio="f"/>
              </v:line>
            </w:pict>
          </mc:Fallback>
        </mc:AlternateContent>
      </w:r>
    </w:p>
    <w:p>
      <w:pPr>
        <w:spacing w:line="600" w:lineRule="exact"/>
        <w:jc w:val="center"/>
        <w:rPr>
          <w:rFonts w:ascii="方正小标宋简体" w:hAnsi="华文中宋" w:eastAsia="方正小标宋简体"/>
          <w:color w:val="000000" w:themeColor="text1"/>
          <w:w w:val="92"/>
          <w:sz w:val="44"/>
          <w:szCs w:val="36"/>
          <w14:textFill>
            <w14:solidFill>
              <w14:schemeClr w14:val="tx1"/>
            </w14:solidFill>
          </w14:textFill>
        </w:rPr>
      </w:pPr>
      <w:r>
        <w:rPr>
          <w:rFonts w:hint="eastAsia" w:ascii="方正小标宋简体" w:hAnsi="华文中宋" w:eastAsia="方正小标宋简体"/>
          <w:color w:val="000000" w:themeColor="text1"/>
          <w:w w:val="92"/>
          <w:sz w:val="44"/>
          <w:szCs w:val="36"/>
          <w14:textFill>
            <w14:solidFill>
              <w14:schemeClr w14:val="tx1"/>
            </w14:solidFill>
          </w14:textFill>
        </w:rPr>
        <w:t>读者出版传媒股份有限公司关于公开选聘</w:t>
      </w:r>
    </w:p>
    <w:p>
      <w:pPr>
        <w:spacing w:line="600" w:lineRule="exact"/>
        <w:jc w:val="center"/>
        <w:rPr>
          <w:rFonts w:ascii="方正小标宋简体" w:hAnsi="华文中宋" w:eastAsia="方正小标宋简体"/>
          <w:color w:val="000000" w:themeColor="text1"/>
          <w:w w:val="92"/>
          <w:sz w:val="44"/>
          <w:szCs w:val="36"/>
          <w14:textFill>
            <w14:solidFill>
              <w14:schemeClr w14:val="tx1"/>
            </w14:solidFill>
          </w14:textFill>
        </w:rPr>
      </w:pPr>
      <w:r>
        <w:rPr>
          <w:rFonts w:hint="eastAsia" w:ascii="方正小标宋简体" w:hAnsi="华文中宋" w:eastAsia="方正小标宋简体"/>
          <w:color w:val="000000" w:themeColor="text1"/>
          <w:w w:val="92"/>
          <w:sz w:val="44"/>
          <w:szCs w:val="36"/>
          <w14:textFill>
            <w14:solidFill>
              <w14:schemeClr w14:val="tx1"/>
            </w14:solidFill>
          </w14:textFill>
        </w:rPr>
        <w:t>惠州读者文化园部分房产运营商的公告</w:t>
      </w:r>
    </w:p>
    <w:p>
      <w:pPr>
        <w:spacing w:line="600" w:lineRule="exact"/>
        <w:ind w:firstLine="720" w:firstLineChars="200"/>
        <w:jc w:val="center"/>
        <w:rPr>
          <w:rFonts w:ascii="方正小标宋简体" w:hAnsi="方正小标宋简体" w:eastAsia="方正小标宋简体" w:cs="方正小标宋简体"/>
          <w:sz w:val="36"/>
          <w:szCs w:val="36"/>
        </w:rPr>
      </w:pP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读者出版传媒股份有限公司（以下简称“我公司”）根据工作需要，决定对我公司及下属子公司所属的惠州市读者文化园部分房产面向社会公开选聘运营商，欢迎符合条件的运营商报名参选。</w:t>
      </w:r>
    </w:p>
    <w:p>
      <w:pPr>
        <w:pStyle w:val="2"/>
        <w:spacing w:line="600" w:lineRule="exact"/>
        <w:ind w:firstLine="600" w:firstLineChars="200"/>
        <w:rPr>
          <w:rFonts w:ascii="黑体" w:hAnsi="黑体" w:eastAsia="黑体" w:cs="Arial"/>
          <w:b w:val="0"/>
          <w:color w:val="191919"/>
          <w:sz w:val="30"/>
          <w:szCs w:val="30"/>
          <w:shd w:val="clear" w:color="auto" w:fill="FFFFFF"/>
        </w:rPr>
      </w:pPr>
      <w:r>
        <w:rPr>
          <w:rFonts w:hint="eastAsia" w:ascii="黑体" w:hAnsi="黑体" w:eastAsia="黑体"/>
          <w:b w:val="0"/>
          <w:sz w:val="30"/>
          <w:szCs w:val="30"/>
        </w:rPr>
        <w:t>一、基本情况</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惠州作为粤港澳大湾区最具活力及发展潜力的城市之一，是珠三角港惠深一体化进程的核心城市之一。毗邻深圳、香港，西连广州、东莞，是链接珠三角及粤东地区的重要门户。惠州多次被评为全国民生改善典范城市，中国十佳宜居城市，全国社会管理综合治理优秀城市，国家生态文明示范城市。惠州处于客家文化、广府文化和潮汕文化的交互地带，文化内容丰富，文化活动盛行。2020年惠州市地区生产总值4221.79亿元，社会消费品零售总额1746.08亿元，常住人口604.29万人。</w:t>
      </w:r>
    </w:p>
    <w:p>
      <w:pPr>
        <w:spacing w:line="600" w:lineRule="exact"/>
        <w:ind w:firstLine="600" w:firstLineChars="200"/>
        <w:rPr>
          <w:rFonts w:ascii="仿宋_GB2312" w:hAnsi="仿宋" w:eastAsia="仿宋_GB2312" w:cs="Arial"/>
          <w:color w:val="191919"/>
          <w:sz w:val="30"/>
          <w:szCs w:val="30"/>
          <w:shd w:val="clear" w:color="auto" w:fill="FFFFFF"/>
        </w:rPr>
      </w:pPr>
      <w:r>
        <w:rPr>
          <w:rFonts w:hint="eastAsia" w:ascii="仿宋_GB2312" w:hAnsi="仿宋" w:eastAsia="仿宋_GB2312" w:cs="Arial"/>
          <w:color w:val="191919"/>
          <w:sz w:val="30"/>
          <w:szCs w:val="30"/>
          <w:shd w:val="clear" w:color="auto" w:fill="FFFFFF"/>
        </w:rPr>
        <w:t>读者文化园位于惠州市惠城区四环南路3号金山湖奥体中心东侧，金山大道、四环南路、惠澳大道、惠大高速环绕园区，拥有“两纵三横”的市政立体化交通体系，10分钟通达全城。所在区域惠城区拥有84个高档住宅小区，常住人口155.9万人，国内外游客年6541万人次。</w:t>
      </w:r>
    </w:p>
    <w:p>
      <w:pPr>
        <w:spacing w:line="600" w:lineRule="exact"/>
        <w:ind w:firstLine="600" w:firstLineChars="200"/>
        <w:rPr>
          <w:rFonts w:ascii="仿宋_GB2312" w:hAnsi="仿宋" w:eastAsia="仿宋_GB2312" w:cs="Arial"/>
          <w:color w:val="191919"/>
          <w:sz w:val="30"/>
          <w:szCs w:val="30"/>
          <w:shd w:val="clear" w:color="auto" w:fill="FFFFFF"/>
        </w:rPr>
      </w:pPr>
      <w:r>
        <w:rPr>
          <w:rFonts w:hint="eastAsia" w:ascii="仿宋_GB2312" w:hAnsi="仿宋" w:eastAsia="仿宋_GB2312" w:cs="Arial"/>
          <w:color w:val="191919"/>
          <w:sz w:val="30"/>
          <w:szCs w:val="30"/>
          <w:shd w:val="clear" w:color="auto" w:fill="FFFFFF"/>
        </w:rPr>
        <w:t>作为读者传媒与秋谷集团联合打造的全国首个以“读者”命名的文化综合体，读者文化园是惠州的人文地标。园区遵循高标准、高水平的规划建设理念，制定了“筑底强基、锻造产业链条、服务城市发展”的产业园区发展纲领。园区以“读者”强大的IP为核心，集合文化创意、文化交流、文化体验、文旅互动、文创设计、文化消费等文化IP全产业链开发于一体。园区总占地面积66667</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仿宋_GB2312"/>
          <w:color w:val="191919"/>
          <w:sz w:val="30"/>
          <w:szCs w:val="30"/>
          <w:shd w:val="clear" w:color="auto" w:fill="FFFFFF"/>
        </w:rPr>
        <w:t>，</w:t>
      </w:r>
      <w:r>
        <w:rPr>
          <w:rFonts w:hint="eastAsia" w:ascii="仿宋_GB2312" w:hAnsi="仿宋" w:eastAsia="仿宋_GB2312" w:cs="Arial"/>
          <w:color w:val="191919"/>
          <w:sz w:val="30"/>
          <w:szCs w:val="30"/>
          <w:shd w:val="clear" w:color="auto" w:fill="FFFFFF"/>
        </w:rPr>
        <w:t>建筑面积约25万</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仿宋_GB2312"/>
          <w:color w:val="191919"/>
          <w:sz w:val="30"/>
          <w:szCs w:val="30"/>
          <w:shd w:val="clear" w:color="auto" w:fill="FFFFFF"/>
        </w:rPr>
        <w:t>，总投资</w:t>
      </w:r>
      <w:r>
        <w:rPr>
          <w:rFonts w:hint="eastAsia" w:ascii="仿宋_GB2312" w:hAnsi="仿宋" w:eastAsia="仿宋_GB2312" w:cs="Arial"/>
          <w:color w:val="191919"/>
          <w:sz w:val="30"/>
          <w:szCs w:val="30"/>
          <w:shd w:val="clear" w:color="auto" w:fill="FFFFFF"/>
        </w:rPr>
        <w:t>约22亿元。园区以艺展中心、读者大厦、产业中心、创业基地、读者书店、许钦松工作室等为核心建筑，拥有停车位1600个，美食及商业街7339</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仿宋_GB2312"/>
          <w:color w:val="191919"/>
          <w:sz w:val="30"/>
          <w:szCs w:val="30"/>
          <w:shd w:val="clear" w:color="auto" w:fill="FFFFFF"/>
        </w:rPr>
        <w:t>，以及复式公寓、酒店等，配套设施完善</w:t>
      </w:r>
      <w:r>
        <w:rPr>
          <w:rFonts w:hint="eastAsia" w:ascii="仿宋_GB2312" w:hAnsi="仿宋" w:eastAsia="仿宋_GB2312" w:cs="Arial"/>
          <w:color w:val="191919"/>
          <w:sz w:val="30"/>
          <w:szCs w:val="30"/>
          <w:shd w:val="clear" w:color="auto" w:fill="FFFFFF"/>
        </w:rPr>
        <w:t>，产业业态丰富。园区整体计划2023年1月全部投入运营，招商已全面展开，已引进中科钛领、优沃希文化、大鹅等品牌入驻；已吸引52个文化IP、众多餐饮服务企业签约。</w:t>
      </w:r>
    </w:p>
    <w:p>
      <w:pPr>
        <w:spacing w:line="600" w:lineRule="exact"/>
        <w:ind w:firstLine="600" w:firstLineChars="200"/>
        <w:rPr>
          <w:rFonts w:ascii="仿宋_GB2312" w:hAnsi="仿宋" w:eastAsia="仿宋_GB2312" w:cs="Arial"/>
          <w:color w:val="191919"/>
          <w:sz w:val="30"/>
          <w:szCs w:val="30"/>
          <w:shd w:val="clear" w:color="auto" w:fill="FFFFFF"/>
        </w:rPr>
      </w:pPr>
      <w:r>
        <w:rPr>
          <w:rFonts w:hint="eastAsia" w:ascii="仿宋_GB2312" w:hAnsi="仿宋" w:eastAsia="仿宋_GB2312" w:cs="Arial"/>
          <w:color w:val="191919"/>
          <w:sz w:val="30"/>
          <w:szCs w:val="30"/>
          <w:shd w:val="clear" w:color="auto" w:fill="FFFFFF"/>
        </w:rPr>
        <w:t>作为本次选聘运营商的房产主要位于产业中心（自编号E栋）。产业中心承担着惠州读者文化园园区科研、商业经营、办公用功能，与读者大厦、D座创业基地连廊相接，共计23层，整栋建筑面积31862.43</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Arial"/>
          <w:color w:val="191919"/>
          <w:sz w:val="30"/>
          <w:szCs w:val="30"/>
          <w:shd w:val="clear" w:color="auto" w:fill="FFFFFF"/>
        </w:rPr>
        <w:t>。纳入本次运营范围的房产建筑面积总计</w:t>
      </w:r>
      <w:r>
        <w:rPr>
          <w:rFonts w:hint="eastAsia" w:ascii="仿宋_GB2312" w:hAnsi="仿宋" w:eastAsia="仿宋_GB2312"/>
          <w:sz w:val="30"/>
          <w:szCs w:val="30"/>
        </w:rPr>
        <w:t>11796.35</w:t>
      </w:r>
      <w:r>
        <w:rPr>
          <w:rFonts w:ascii="Segoe UI Symbol" w:hAnsi="Segoe UI Symbol" w:eastAsia="仿宋_GB2312" w:cs="Segoe UI Symbol"/>
          <w:sz w:val="30"/>
          <w:szCs w:val="30"/>
        </w:rPr>
        <w:t>㎡</w:t>
      </w:r>
      <w:r>
        <w:rPr>
          <w:rFonts w:hint="eastAsia" w:ascii="仿宋_GB2312" w:hAnsi="仿宋" w:eastAsia="仿宋_GB2312"/>
          <w:sz w:val="30"/>
          <w:szCs w:val="30"/>
        </w:rPr>
        <w:t>，包括</w:t>
      </w:r>
      <w:r>
        <w:rPr>
          <w:rFonts w:hint="eastAsia" w:ascii="仿宋_GB2312" w:hAnsi="仿宋" w:eastAsia="仿宋_GB2312" w:cs="Arial"/>
          <w:color w:val="191919"/>
          <w:sz w:val="30"/>
          <w:szCs w:val="30"/>
          <w:shd w:val="clear" w:color="auto" w:fill="FFFFFF"/>
        </w:rPr>
        <w:t>：产业中心1层房间2间，层高6米，建筑面积共267</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仿宋_GB2312"/>
          <w:color w:val="191919"/>
          <w:sz w:val="30"/>
          <w:szCs w:val="30"/>
          <w:shd w:val="clear" w:color="auto" w:fill="FFFFFF"/>
        </w:rPr>
        <w:t>。产</w:t>
      </w:r>
      <w:r>
        <w:rPr>
          <w:rFonts w:hint="eastAsia" w:ascii="仿宋_GB2312" w:hAnsi="仿宋" w:eastAsia="仿宋_GB2312" w:cs="Arial"/>
          <w:color w:val="191919"/>
          <w:sz w:val="30"/>
          <w:szCs w:val="30"/>
          <w:shd w:val="clear" w:color="auto" w:fill="FFFFFF"/>
        </w:rPr>
        <w:t>业中心5-11层整层，每层层高4米，每层规划房屋6间，建筑面积共8765.99</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Segoe UI Symbol"/>
          <w:color w:val="191919"/>
          <w:sz w:val="30"/>
          <w:szCs w:val="30"/>
          <w:shd w:val="clear" w:color="auto" w:fill="FFFFFF"/>
        </w:rPr>
        <w:t>。</w:t>
      </w:r>
      <w:r>
        <w:rPr>
          <w:rFonts w:hint="eastAsia" w:ascii="仿宋_GB2312" w:hAnsi="仿宋" w:eastAsia="仿宋_GB2312" w:cs="Arial"/>
          <w:color w:val="191919"/>
          <w:sz w:val="30"/>
          <w:szCs w:val="30"/>
          <w:shd w:val="clear" w:color="auto" w:fill="FFFFFF"/>
        </w:rPr>
        <w:t>C栋18层、19层整层，17层9间，合计公寓57间，合计建筑面积2500.94</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Segoe UI Symbol"/>
          <w:color w:val="191919"/>
          <w:sz w:val="30"/>
          <w:szCs w:val="30"/>
          <w:shd w:val="clear" w:color="auto" w:fill="FFFFFF"/>
        </w:rPr>
        <w:t>；C栋2层科研用房4间共262.42</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仿宋_GB2312"/>
          <w:color w:val="191919"/>
          <w:sz w:val="30"/>
          <w:szCs w:val="30"/>
          <w:shd w:val="clear" w:color="auto" w:fill="FFFFFF"/>
        </w:rPr>
        <w:t>。</w:t>
      </w:r>
      <w:r>
        <w:rPr>
          <w:rFonts w:hint="eastAsia" w:ascii="仿宋_GB2312" w:hAnsi="仿宋" w:eastAsia="仿宋_GB2312" w:cs="Arial"/>
          <w:color w:val="191919"/>
          <w:sz w:val="30"/>
          <w:szCs w:val="30"/>
          <w:shd w:val="clear" w:color="auto" w:fill="FFFFFF"/>
        </w:rPr>
        <w:t>以上建筑计划</w:t>
      </w:r>
      <w:r>
        <w:rPr>
          <w:rFonts w:hint="eastAsia" w:ascii="仿宋_GB2312" w:hAnsi="仿宋" w:eastAsia="仿宋_GB2312" w:cs="Arial"/>
          <w:color w:val="191919"/>
          <w:sz w:val="30"/>
          <w:szCs w:val="30"/>
          <w:shd w:val="clear" w:color="auto" w:fill="FFFFFF"/>
        </w:rPr>
        <mc:AlternateContent>
          <mc:Choice Requires="wps">
            <w:drawing>
              <wp:anchor distT="0" distB="0" distL="114300" distR="114300" simplePos="0" relativeHeight="251663360" behindDoc="0" locked="0" layoutInCell="1" allowOverlap="1">
                <wp:simplePos x="0" y="0"/>
                <wp:positionH relativeFrom="column">
                  <wp:posOffset>3069590</wp:posOffset>
                </wp:positionH>
                <wp:positionV relativeFrom="paragraph">
                  <wp:posOffset>19050</wp:posOffset>
                </wp:positionV>
                <wp:extent cx="3019425" cy="2159000"/>
                <wp:effectExtent l="19050" t="19050" r="28575" b="12700"/>
                <wp:wrapSquare wrapText="bothSides"/>
                <wp:docPr id="19" name="Text Box 7"/>
                <wp:cNvGraphicFramePr/>
                <a:graphic xmlns:a="http://schemas.openxmlformats.org/drawingml/2006/main">
                  <a:graphicData uri="http://schemas.microsoft.com/office/word/2010/wordprocessingShape">
                    <wps:wsp>
                      <wps:cNvSpPr txBox="1">
                        <a:spLocks noChangeArrowheads="1"/>
                      </wps:cNvSpPr>
                      <wps:spPr bwMode="auto">
                        <a:xfrm>
                          <a:off x="0" y="0"/>
                          <a:ext cx="3019425" cy="215900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r>
                              <w:drawing>
                                <wp:inline distT="0" distB="0" distL="0" distR="0">
                                  <wp:extent cx="2730500" cy="19399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777769" cy="197350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241.7pt;margin-top:1.5pt;height:170pt;width:237.75pt;mso-wrap-distance-bottom:0pt;mso-wrap-distance-left:9pt;mso-wrap-distance-right:9pt;mso-wrap-distance-top:0pt;z-index:251663360;mso-width-relative:page;mso-height-relative:page;" fillcolor="#FFFFFF [3217]" filled="t" stroked="t" coordsize="21600,21600" o:gfxdata="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KRD8k1gAAAAkB&#10;AAAPAAAAAAAAAAEAIAAAACIAAABkcnMvZG93bnJldi54bWxQSwECFAAUAAAACACHTuJAA6NeoVYC&#10;AAADBQAADgAAAAAAAAABACAAAAAlAQAAZHJzL2Uyb0RvYy54bWxQSwUGAAAAAAYABgBZAQAA7QUA&#10;AAAA&#10;">
                <v:fill on="t" focussize="0,0"/>
                <v:stroke weight="2.5pt" color="#5B9BD5 [3224]" miterlimit="8" joinstyle="miter"/>
                <v:imagedata o:title=""/>
                <o:lock v:ext="edit" aspectratio="f"/>
                <v:textbox>
                  <w:txbxContent>
                    <w:p>
                      <w:r>
                        <w:drawing>
                          <wp:inline distT="0" distB="0" distL="0" distR="0">
                            <wp:extent cx="2730500" cy="19399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777769" cy="1973508"/>
                                    </a:xfrm>
                                    <a:prstGeom prst="rect">
                                      <a:avLst/>
                                    </a:prstGeom>
                                  </pic:spPr>
                                </pic:pic>
                              </a:graphicData>
                            </a:graphic>
                          </wp:inline>
                        </w:drawing>
                      </w:r>
                    </w:p>
                  </w:txbxContent>
                </v:textbox>
                <w10:wrap type="square"/>
              </v:shape>
            </w:pict>
          </mc:Fallback>
        </mc:AlternateContent>
      </w:r>
      <w:r>
        <w:rPr>
          <w:rFonts w:hint="eastAsia" w:ascii="仿宋_GB2312" w:hAnsi="仿宋" w:eastAsia="仿宋_GB2312" w:cs="Arial"/>
          <w:color w:val="191919"/>
          <w:sz w:val="30"/>
          <w:szCs w:val="30"/>
          <w:shd w:val="clear" w:color="auto" w:fill="FFFFFF"/>
        </w:rPr>
        <mc:AlternateContent>
          <mc:Choice Requires="wps">
            <w:drawing>
              <wp:anchor distT="0" distB="0" distL="114300" distR="114300" simplePos="0" relativeHeight="251662336" behindDoc="0" locked="0" layoutInCell="1" allowOverlap="1">
                <wp:simplePos x="0" y="0"/>
                <wp:positionH relativeFrom="column">
                  <wp:posOffset>3038475</wp:posOffset>
                </wp:positionH>
                <wp:positionV relativeFrom="paragraph">
                  <wp:posOffset>2247265</wp:posOffset>
                </wp:positionV>
                <wp:extent cx="3080385" cy="2216150"/>
                <wp:effectExtent l="19050" t="19050" r="24765" b="12700"/>
                <wp:wrapSquare wrapText="bothSides"/>
                <wp:docPr id="21" name="Text Box 10"/>
                <wp:cNvGraphicFramePr/>
                <a:graphic xmlns:a="http://schemas.openxmlformats.org/drawingml/2006/main">
                  <a:graphicData uri="http://schemas.microsoft.com/office/word/2010/wordprocessingShape">
                    <wps:wsp>
                      <wps:cNvSpPr txBox="1">
                        <a:spLocks noChangeArrowheads="1"/>
                      </wps:cNvSpPr>
                      <wps:spPr bwMode="auto">
                        <a:xfrm>
                          <a:off x="0" y="0"/>
                          <a:ext cx="3080385" cy="221615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r>
                              <w:drawing>
                                <wp:inline distT="0" distB="0" distL="0" distR="0">
                                  <wp:extent cx="3164205" cy="1758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3200932" cy="17791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239.25pt;margin-top:176.95pt;height:174.5pt;width:242.55pt;mso-wrap-distance-bottom:0pt;mso-wrap-distance-left:9pt;mso-wrap-distance-right:9pt;mso-wrap-distance-top:0pt;z-index:251662336;mso-width-relative:page;mso-height-relative:page;" fillcolor="#FFFFFF [3217]" filled="t" stroked="t" coordsize="21600,21600" o:gfxdata="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GtoBdkAAAAL&#10;AQAADwAAAAAAAAABACAAAAAiAAAAZHJzL2Rvd25yZXYueG1sUEsBAhQAFAAAAAgAh07iQGXjGGpU&#10;AgAABAUAAA4AAAAAAAAAAQAgAAAAKAEAAGRycy9lMm9Eb2MueG1sUEsFBgAAAAAGAAYAWQEAAO4F&#10;AAAAAA==&#10;">
                <v:fill on="t" focussize="0,0"/>
                <v:stroke weight="2.5pt" color="#5B9BD5 [3224]" miterlimit="8" joinstyle="miter"/>
                <v:imagedata o:title=""/>
                <o:lock v:ext="edit" aspectratio="f"/>
                <v:textbox>
                  <w:txbxContent>
                    <w:p>
                      <w:r>
                        <w:drawing>
                          <wp:inline distT="0" distB="0" distL="0" distR="0">
                            <wp:extent cx="3164205" cy="1758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3200932" cy="1779185"/>
                                    </a:xfrm>
                                    <a:prstGeom prst="rect">
                                      <a:avLst/>
                                    </a:prstGeom>
                                  </pic:spPr>
                                </pic:pic>
                              </a:graphicData>
                            </a:graphic>
                          </wp:inline>
                        </w:drawing>
                      </w:r>
                    </w:p>
                  </w:txbxContent>
                </v:textbox>
                <w10:wrap type="square"/>
              </v:shape>
            </w:pict>
          </mc:Fallback>
        </mc:AlternateContent>
      </w:r>
      <w:r>
        <w:rPr>
          <w:rFonts w:hint="eastAsia" w:ascii="仿宋_GB2312" w:hAnsi="仿宋" w:eastAsia="仿宋_GB2312" w:cs="Arial"/>
          <w:color w:val="191919"/>
          <w:sz w:val="30"/>
          <w:szCs w:val="30"/>
          <w:shd w:val="clear" w:color="auto" w:fill="FFFFFF"/>
        </w:rPr>
        <mc:AlternateContent>
          <mc:Choice Requires="wps">
            <w:drawing>
              <wp:anchor distT="0" distB="0" distL="114300" distR="114300" simplePos="0" relativeHeight="251664384" behindDoc="1" locked="0" layoutInCell="1" allowOverlap="1">
                <wp:simplePos x="0" y="0"/>
                <wp:positionH relativeFrom="column">
                  <wp:posOffset>-209550</wp:posOffset>
                </wp:positionH>
                <wp:positionV relativeFrom="paragraph">
                  <wp:posOffset>2240915</wp:posOffset>
                </wp:positionV>
                <wp:extent cx="3184525" cy="2202180"/>
                <wp:effectExtent l="19050" t="19050" r="15875" b="26670"/>
                <wp:wrapTight wrapText="bothSides">
                  <wp:wrapPolygon>
                    <wp:start x="-129" y="-187"/>
                    <wp:lineTo x="-129" y="21675"/>
                    <wp:lineTo x="21578" y="21675"/>
                    <wp:lineTo x="21578" y="-187"/>
                    <wp:lineTo x="-129" y="-187"/>
                  </wp:wrapPolygon>
                </wp:wrapTight>
                <wp:docPr id="20" name="Text Box 8"/>
                <wp:cNvGraphicFramePr/>
                <a:graphic xmlns:a="http://schemas.openxmlformats.org/drawingml/2006/main">
                  <a:graphicData uri="http://schemas.microsoft.com/office/word/2010/wordprocessingShape">
                    <wps:wsp>
                      <wps:cNvSpPr txBox="1">
                        <a:spLocks noChangeArrowheads="1"/>
                      </wps:cNvSpPr>
                      <wps:spPr bwMode="auto">
                        <a:xfrm>
                          <a:off x="0" y="0"/>
                          <a:ext cx="3184525" cy="220218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r>
                              <w:drawing>
                                <wp:inline distT="0" distB="0" distL="0" distR="0">
                                  <wp:extent cx="2444115" cy="21494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2444115" cy="214970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16.5pt;margin-top:176.45pt;height:173.4pt;width:250.75pt;mso-wrap-distance-left:9pt;mso-wrap-distance-right:9pt;z-index:-251652096;mso-width-relative:page;mso-height-relative:page;" fillcolor="#FFFFFF [3217]" filled="t" stroked="t" coordsize="21600,21600" wrapcoords="-129 -187 -129 21675 21578 21675 21578 -187 -129 -187" o:gfxdata="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xVqV2gAA&#10;AAsBAAAPAAAAAAAAAAEAIAAAACIAAABkcnMvZG93bnJldi54bWxQSwECFAAUAAAACACHTuJA5qVs&#10;QFUCAAADBQAADgAAAAAAAAABACAAAAApAQAAZHJzL2Uyb0RvYy54bWxQSwUGAAAAAAYABgBZAQAA&#10;8AUAAAAA&#10;">
                <v:fill on="t" focussize="0,0"/>
                <v:stroke weight="2.5pt" color="#5B9BD5 [3224]" miterlimit="8" joinstyle="miter"/>
                <v:imagedata o:title=""/>
                <o:lock v:ext="edit" aspectratio="f"/>
                <v:textbox>
                  <w:txbxContent>
                    <w:p>
                      <w:r>
                        <w:drawing>
                          <wp:inline distT="0" distB="0" distL="0" distR="0">
                            <wp:extent cx="2444115" cy="21494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2444115" cy="2149708"/>
                                    </a:xfrm>
                                    <a:prstGeom prst="rect">
                                      <a:avLst/>
                                    </a:prstGeom>
                                  </pic:spPr>
                                </pic:pic>
                              </a:graphicData>
                            </a:graphic>
                          </wp:inline>
                        </w:drawing>
                      </w:r>
                    </w:p>
                  </w:txbxContent>
                </v:textbox>
                <w10:wrap type="tight"/>
              </v:shape>
            </w:pict>
          </mc:Fallback>
        </mc:AlternateContent>
      </w:r>
      <w:r>
        <w:rPr>
          <w:rFonts w:hint="eastAsia" w:ascii="仿宋_GB2312" w:hAnsi="仿宋" w:eastAsia="仿宋_GB2312" w:cs="Arial"/>
          <w:color w:val="191919"/>
          <w:sz w:val="30"/>
          <w:szCs w:val="30"/>
          <w:shd w:val="clear" w:color="auto" w:fill="FFFFFF"/>
        </w:rPr>
        <mc:AlternateContent>
          <mc:Choice Requires="wps">
            <w:drawing>
              <wp:anchor distT="0" distB="0" distL="114300" distR="114300" simplePos="0" relativeHeight="251661312" behindDoc="1" locked="0" layoutInCell="1" allowOverlap="1">
                <wp:simplePos x="0" y="0"/>
                <wp:positionH relativeFrom="column">
                  <wp:posOffset>-234950</wp:posOffset>
                </wp:positionH>
                <wp:positionV relativeFrom="paragraph">
                  <wp:posOffset>19050</wp:posOffset>
                </wp:positionV>
                <wp:extent cx="3233420" cy="2190750"/>
                <wp:effectExtent l="19050" t="19050" r="24130" b="19050"/>
                <wp:wrapTight wrapText="bothSides">
                  <wp:wrapPolygon>
                    <wp:start x="-127" y="-188"/>
                    <wp:lineTo x="-127" y="21600"/>
                    <wp:lineTo x="21634" y="21600"/>
                    <wp:lineTo x="21634" y="-188"/>
                    <wp:lineTo x="-127" y="-188"/>
                  </wp:wrapPolygon>
                </wp:wrapTight>
                <wp:docPr id="18" name="Text Box 6"/>
                <wp:cNvGraphicFramePr/>
                <a:graphic xmlns:a="http://schemas.openxmlformats.org/drawingml/2006/main">
                  <a:graphicData uri="http://schemas.microsoft.com/office/word/2010/wordprocessingShape">
                    <wps:wsp>
                      <wps:cNvSpPr txBox="1">
                        <a:spLocks noChangeArrowheads="1"/>
                      </wps:cNvSpPr>
                      <wps:spPr bwMode="auto">
                        <a:xfrm>
                          <a:off x="0" y="0"/>
                          <a:ext cx="3233420" cy="219075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r>
                              <w:rPr>
                                <w:rFonts w:ascii="仿宋" w:hAnsi="仿宋" w:eastAsia="仿宋"/>
                                <w:sz w:val="32"/>
                                <w:szCs w:val="32"/>
                              </w:rPr>
                              <w:drawing>
                                <wp:inline distT="0" distB="0" distL="0" distR="0">
                                  <wp:extent cx="3031490" cy="19297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stretch>
                                            <a:fillRect/>
                                          </a:stretch>
                                        </pic:blipFill>
                                        <pic:spPr>
                                          <a:xfrm>
                                            <a:off x="0" y="0"/>
                                            <a:ext cx="3099070" cy="19726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18.5pt;margin-top:1.5pt;height:172.5pt;width:254.6pt;mso-wrap-distance-left:9pt;mso-wrap-distance-right:9pt;z-index:-251655168;mso-width-relative:page;mso-height-relative:page;" fillcolor="#FFFFFF [3217]" filled="t" stroked="t" coordsize="21600,21600" wrapcoords="-127 -188 -127 21600 21634 21600 21634 -188 -127 -188" o:gfxdata="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T4B91wAAAAkBAAAP&#10;AAAAAAAAAAEAIAAAACIAAABkcnMvZG93bnJldi54bWxQSwECFAAUAAAACACHTuJA3b4NE1ICAAAD&#10;BQAADgAAAAAAAAABACAAAAAmAQAAZHJzL2Uyb0RvYy54bWxQSwUGAAAAAAYABgBZAQAA6gUAAAAA&#10;">
                <v:fill on="t" focussize="0,0"/>
                <v:stroke weight="2.5pt" color="#5B9BD5 [3224]" miterlimit="8" joinstyle="miter"/>
                <v:imagedata o:title=""/>
                <o:lock v:ext="edit" aspectratio="f"/>
                <v:textbox>
                  <w:txbxContent>
                    <w:p>
                      <w:r>
                        <w:rPr>
                          <w:rFonts w:ascii="仿宋" w:hAnsi="仿宋" w:eastAsia="仿宋"/>
                          <w:sz w:val="32"/>
                          <w:szCs w:val="32"/>
                        </w:rPr>
                        <w:drawing>
                          <wp:inline distT="0" distB="0" distL="0" distR="0">
                            <wp:extent cx="3031490" cy="19297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stretch>
                                      <a:fillRect/>
                                    </a:stretch>
                                  </pic:blipFill>
                                  <pic:spPr>
                                    <a:xfrm>
                                      <a:off x="0" y="0"/>
                                      <a:ext cx="3099070" cy="1972634"/>
                                    </a:xfrm>
                                    <a:prstGeom prst="rect">
                                      <a:avLst/>
                                    </a:prstGeom>
                                  </pic:spPr>
                                </pic:pic>
                              </a:graphicData>
                            </a:graphic>
                          </wp:inline>
                        </w:drawing>
                      </w:r>
                    </w:p>
                  </w:txbxContent>
                </v:textbox>
                <w10:wrap type="tight"/>
              </v:shape>
            </w:pict>
          </mc:Fallback>
        </mc:AlternateContent>
      </w:r>
      <w:r>
        <w:rPr>
          <w:rFonts w:hint="eastAsia" w:ascii="仿宋_GB2312" w:hAnsi="仿宋" w:eastAsia="仿宋_GB2312" w:cs="Arial"/>
          <w:color w:val="191919"/>
          <w:sz w:val="30"/>
          <w:szCs w:val="30"/>
          <w:shd w:val="clear" w:color="auto" w:fill="FFFFFF"/>
        </w:rPr>
        <w:t>于2023年1月交付运营（以当地政府实际验收通过时间为准）。</w:t>
      </w:r>
    </w:p>
    <w:p>
      <w:pPr>
        <w:pStyle w:val="2"/>
        <w:spacing w:line="600" w:lineRule="exact"/>
        <w:ind w:firstLine="600" w:firstLineChars="200"/>
        <w:rPr>
          <w:rFonts w:ascii="黑体" w:hAnsi="黑体" w:eastAsia="黑体"/>
          <w:b w:val="0"/>
          <w:sz w:val="30"/>
          <w:szCs w:val="30"/>
        </w:rPr>
      </w:pPr>
      <w:r>
        <w:rPr>
          <w:rFonts w:hint="eastAsia" w:ascii="黑体" w:hAnsi="黑体" w:eastAsia="黑体"/>
          <w:b w:val="0"/>
          <w:sz w:val="30"/>
          <w:szCs w:val="30"/>
        </w:rPr>
        <w:t>二、项目范围</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（一）运营商全盘负责以下房产、车位的招商及运营，具体包括：</w:t>
      </w:r>
    </w:p>
    <w:p>
      <w:pPr>
        <w:spacing w:line="600" w:lineRule="exact"/>
        <w:ind w:firstLine="600" w:firstLineChars="200"/>
        <w:rPr>
          <w:rFonts w:ascii="仿宋_GB2312" w:hAnsi="仿宋" w:eastAsia="仿宋_GB2312" w:cs="Arial"/>
          <w:color w:val="191919"/>
          <w:sz w:val="30"/>
          <w:szCs w:val="30"/>
          <w:shd w:val="clear" w:color="auto" w:fill="FFFFFF"/>
        </w:rPr>
      </w:pPr>
      <w:r>
        <w:rPr>
          <w:rFonts w:hint="eastAsia" w:ascii="仿宋_GB2312" w:hAnsi="仿宋" w:eastAsia="仿宋_GB2312" w:cs="Arial"/>
          <w:color w:val="191919"/>
          <w:sz w:val="30"/>
          <w:szCs w:val="30"/>
          <w:shd w:val="clear" w:color="auto" w:fill="FFFFFF"/>
        </w:rPr>
        <w:t>1、惠州读者文化园产业中心1层科研用房2间，层高6米，建筑面积267</w:t>
      </w:r>
      <w:r>
        <w:rPr>
          <w:rFonts w:ascii="Segoe UI Symbol" w:hAnsi="Segoe UI Symbol" w:eastAsia="仿宋_GB2312" w:cs="Segoe UI Symbol"/>
          <w:color w:val="191919"/>
          <w:sz w:val="30"/>
          <w:szCs w:val="30"/>
          <w:shd w:val="clear" w:color="auto" w:fill="FFFFFF"/>
        </w:rPr>
        <w:t>㎡</w:t>
      </w:r>
      <w:r>
        <w:rPr>
          <w:rFonts w:hint="eastAsia" w:ascii="仿宋_GB2312" w:hAnsi="仿宋_GB2312" w:eastAsia="仿宋_GB2312" w:cs="仿宋_GB2312"/>
          <w:color w:val="191919"/>
          <w:sz w:val="30"/>
          <w:szCs w:val="30"/>
          <w:shd w:val="clear" w:color="auto" w:fill="FFFFFF"/>
        </w:rPr>
        <w:t>。</w:t>
      </w:r>
    </w:p>
    <w:p>
      <w:pPr>
        <w:spacing w:line="600" w:lineRule="exact"/>
        <w:ind w:firstLine="600" w:firstLineChars="200"/>
        <w:rPr>
          <w:rFonts w:ascii="仿宋_GB2312" w:hAnsi="仿宋" w:eastAsia="仿宋_GB2312" w:cs="Arial"/>
          <w:color w:val="191919"/>
          <w:sz w:val="30"/>
          <w:szCs w:val="30"/>
          <w:shd w:val="clear" w:color="auto" w:fill="FFFFFF"/>
        </w:rPr>
      </w:pPr>
      <w:r>
        <w:rPr>
          <w:rFonts w:hint="eastAsia" w:ascii="仿宋_GB2312" w:hAnsi="仿宋" w:eastAsia="仿宋_GB2312" w:cs="Arial"/>
          <w:color w:val="191919"/>
          <w:sz w:val="30"/>
          <w:szCs w:val="30"/>
          <w:shd w:val="clear" w:color="auto" w:fill="FFFFFF"/>
        </w:rPr>
        <w:t>2、惠州读者文化园产业中心写字楼5-11层整层，层高4米，每层房屋6间，共计建筑面积8765.99</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Arial"/>
          <w:color w:val="191919"/>
          <w:sz w:val="30"/>
          <w:szCs w:val="30"/>
          <w:shd w:val="clear" w:color="auto" w:fill="FFFFFF"/>
        </w:rPr>
        <w:t>。</w:t>
      </w:r>
    </w:p>
    <w:p>
      <w:pPr>
        <w:spacing w:line="600" w:lineRule="exact"/>
        <w:ind w:firstLine="600" w:firstLineChars="200"/>
        <w:rPr>
          <w:rFonts w:ascii="仿宋_GB2312" w:hAnsi="仿宋" w:eastAsia="仿宋_GB2312" w:cs="仿宋_GB2312"/>
          <w:color w:val="191919"/>
          <w:sz w:val="30"/>
          <w:szCs w:val="30"/>
          <w:shd w:val="clear" w:color="auto" w:fill="FFFFFF"/>
        </w:rPr>
      </w:pPr>
      <w:r>
        <w:rPr>
          <w:rFonts w:hint="eastAsia" w:ascii="仿宋_GB2312" w:hAnsi="仿宋" w:eastAsia="仿宋_GB2312" w:cs="Arial"/>
          <w:color w:val="191919"/>
          <w:sz w:val="30"/>
          <w:szCs w:val="30"/>
          <w:shd w:val="clear" w:color="auto" w:fill="FFFFFF"/>
        </w:rPr>
        <w:t>3、惠州读者文化园C栋公寓19层、18层整层及17层9间，合计公寓57间，共计建筑面积2500.94</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Segoe UI Symbol"/>
          <w:color w:val="191919"/>
          <w:sz w:val="30"/>
          <w:szCs w:val="30"/>
          <w:shd w:val="clear" w:color="auto" w:fill="FFFFFF"/>
        </w:rPr>
        <w:t>；C栋2层科研用房4间共262.42</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仿宋_GB2312"/>
          <w:color w:val="191919"/>
          <w:sz w:val="30"/>
          <w:szCs w:val="30"/>
          <w:shd w:val="clear" w:color="auto" w:fill="FFFFFF"/>
        </w:rPr>
        <w:t>。</w:t>
      </w:r>
    </w:p>
    <w:p>
      <w:pPr>
        <w:spacing w:line="600" w:lineRule="exact"/>
        <w:ind w:firstLine="600" w:firstLineChars="200"/>
        <w:rPr>
          <w:rFonts w:ascii="仿宋_GB2312" w:hAnsi="仿宋" w:eastAsia="仿宋_GB2312" w:cs="仿宋_GB2312"/>
          <w:color w:val="191919"/>
          <w:sz w:val="30"/>
          <w:szCs w:val="30"/>
          <w:shd w:val="clear" w:color="auto" w:fill="FFFFFF"/>
        </w:rPr>
      </w:pPr>
      <w:r>
        <w:rPr>
          <w:rFonts w:hint="eastAsia" w:ascii="仿宋_GB2312" w:hAnsi="仿宋" w:eastAsia="仿宋_GB2312" w:cs="仿宋_GB2312"/>
          <w:color w:val="191919"/>
          <w:sz w:val="30"/>
          <w:szCs w:val="30"/>
          <w:shd w:val="clear" w:color="auto" w:fill="FFFFFF"/>
        </w:rPr>
        <w:t>4、配套地下车位103个。</w:t>
      </w:r>
    </w:p>
    <w:p>
      <w:pPr>
        <w:spacing w:line="600" w:lineRule="exact"/>
        <w:ind w:firstLine="600" w:firstLineChars="200"/>
        <w:rPr>
          <w:rFonts w:ascii="仿宋_GB2312" w:hAnsi="仿宋" w:eastAsia="仿宋_GB2312" w:cs="Arial"/>
          <w:color w:val="191919"/>
          <w:sz w:val="30"/>
          <w:szCs w:val="30"/>
          <w:shd w:val="clear" w:color="auto" w:fill="FFFFFF"/>
        </w:rPr>
      </w:pPr>
      <w:r>
        <w:rPr>
          <w:rFonts w:hint="eastAsia" w:ascii="仿宋_GB2312" w:hAnsi="仿宋" w:eastAsia="仿宋_GB2312" w:cs="Arial"/>
          <w:color w:val="191919"/>
          <w:sz w:val="30"/>
          <w:szCs w:val="30"/>
          <w:shd w:val="clear" w:color="auto" w:fill="FFFFFF"/>
        </w:rPr>
        <w:t>上述房产共计建筑面积11796.35</w:t>
      </w:r>
      <w:r>
        <w:rPr>
          <w:rFonts w:ascii="Segoe UI Symbol" w:hAnsi="Segoe UI Symbol" w:eastAsia="仿宋_GB2312" w:cs="Segoe UI Symbol"/>
          <w:color w:val="191919"/>
          <w:sz w:val="30"/>
          <w:szCs w:val="30"/>
          <w:shd w:val="clear" w:color="auto" w:fill="FFFFFF"/>
        </w:rPr>
        <w:t>㎡</w:t>
      </w:r>
      <w:r>
        <w:rPr>
          <w:rFonts w:hint="eastAsia" w:ascii="仿宋_GB2312" w:hAnsi="仿宋" w:eastAsia="仿宋_GB2312" w:cs="Segoe UI Symbol"/>
          <w:color w:val="191919"/>
          <w:sz w:val="30"/>
          <w:szCs w:val="30"/>
          <w:shd w:val="clear" w:color="auto" w:fill="FFFFFF"/>
        </w:rPr>
        <w:t>（不含地下车位）</w:t>
      </w:r>
      <w:r>
        <w:rPr>
          <w:rFonts w:hint="eastAsia" w:ascii="仿宋_GB2312" w:hAnsi="仿宋" w:eastAsia="仿宋_GB2312" w:cs="仿宋_GB2312"/>
          <w:color w:val="191919"/>
          <w:sz w:val="30"/>
          <w:szCs w:val="30"/>
          <w:shd w:val="clear" w:color="auto" w:fill="FFFFFF"/>
        </w:rPr>
        <w:t>，实物房产编号及最终面积、车位位置可能会因交付略有变化，具体以合同约定为准。我公司以当地政府竣工验收标准为标准向运营商交付。</w:t>
      </w:r>
      <w:r>
        <w:rPr>
          <w:rFonts w:hint="eastAsia" w:ascii="仿宋_GB2312" w:hAnsi="仿宋" w:eastAsia="仿宋_GB2312" w:cs="Arial"/>
          <w:color w:val="191919"/>
          <w:sz w:val="30"/>
          <w:szCs w:val="30"/>
          <w:shd w:val="clear" w:color="auto" w:fill="FFFFFF"/>
        </w:rPr>
        <w:t>其中C栋公寓19层、18层整层及17层9间房间合计公寓57套，我公司在合同存续期间可能择机全部或部分出售，发生出售情形的，遵循买卖不破租赁原则，原租赁关系不受影响。</w:t>
      </w:r>
    </w:p>
    <w:p>
      <w:pPr>
        <w:spacing w:line="600" w:lineRule="exact"/>
        <w:ind w:firstLine="600" w:firstLineChars="200"/>
        <w:rPr>
          <w:rFonts w:ascii="仿宋_GB2312" w:hAnsi="仿宋" w:eastAsia="仿宋_GB2312" w:cs="仿宋_GB2312"/>
          <w:color w:val="191919"/>
          <w:sz w:val="30"/>
          <w:szCs w:val="30"/>
          <w:shd w:val="clear" w:color="auto" w:fill="FFFFFF"/>
        </w:rPr>
      </w:pPr>
      <w:r>
        <w:rPr>
          <w:rFonts w:hint="eastAsia" w:ascii="仿宋_GB2312" w:hAnsi="仿宋" w:eastAsia="仿宋_GB2312" w:cs="仿宋_GB2312"/>
          <w:color w:val="191919"/>
          <w:sz w:val="30"/>
          <w:szCs w:val="30"/>
          <w:shd w:val="clear" w:color="auto" w:fill="FFFFFF"/>
        </w:rPr>
        <w:t>（二）运营商的业态布局须符合园区规划、房产用途和园区物业管理要求，具体包括但不限于科技、文化相关业态的自用、出租、开展经营等，具体为：</w:t>
      </w:r>
    </w:p>
    <w:p>
      <w:pPr>
        <w:spacing w:line="600" w:lineRule="exact"/>
        <w:ind w:firstLine="600" w:firstLineChars="200"/>
        <w:rPr>
          <w:rFonts w:ascii="仿宋_GB2312" w:hAnsi="仿宋" w:eastAsia="仿宋_GB2312" w:cs="仿宋_GB2312"/>
          <w:color w:val="191919"/>
          <w:sz w:val="30"/>
          <w:szCs w:val="30"/>
          <w:shd w:val="clear" w:color="auto" w:fill="FFFFFF"/>
        </w:rPr>
      </w:pPr>
      <w:r>
        <w:rPr>
          <w:rFonts w:hint="eastAsia" w:ascii="仿宋_GB2312" w:hAnsi="仿宋" w:eastAsia="仿宋_GB2312" w:cs="仿宋_GB2312"/>
          <w:color w:val="191919"/>
          <w:sz w:val="30"/>
          <w:szCs w:val="30"/>
          <w:shd w:val="clear" w:color="auto" w:fill="FFFFFF"/>
        </w:rPr>
        <w:t>1、产业中心1层房间、C栋2层房间可作为科技、文化相关业态自用及出租。</w:t>
      </w:r>
    </w:p>
    <w:p>
      <w:pPr>
        <w:spacing w:line="600" w:lineRule="exact"/>
        <w:ind w:firstLine="600" w:firstLineChars="200"/>
        <w:rPr>
          <w:rFonts w:ascii="仿宋_GB2312" w:hAnsi="仿宋" w:eastAsia="仿宋_GB2312" w:cs="Arial"/>
          <w:color w:val="191919"/>
          <w:sz w:val="30"/>
          <w:szCs w:val="30"/>
          <w:shd w:val="clear" w:color="auto" w:fill="FFFFFF"/>
        </w:rPr>
      </w:pPr>
      <w:r>
        <w:rPr>
          <w:rFonts w:hint="eastAsia" w:ascii="仿宋_GB2312" w:hAnsi="仿宋" w:eastAsia="仿宋_GB2312" w:cs="仿宋_GB2312"/>
          <w:color w:val="191919"/>
          <w:sz w:val="30"/>
          <w:szCs w:val="30"/>
          <w:shd w:val="clear" w:color="auto" w:fill="FFFFFF"/>
        </w:rPr>
        <w:t>2、产业中心</w:t>
      </w:r>
      <w:r>
        <w:rPr>
          <w:rFonts w:hint="eastAsia" w:ascii="仿宋_GB2312" w:hAnsi="仿宋" w:eastAsia="仿宋_GB2312" w:cs="Arial"/>
          <w:color w:val="191919"/>
          <w:sz w:val="30"/>
          <w:szCs w:val="30"/>
          <w:shd w:val="clear" w:color="auto" w:fill="FFFFFF"/>
        </w:rPr>
        <w:t>5-11层写字楼可用于科研、办公等自用及出租。</w:t>
      </w:r>
    </w:p>
    <w:p>
      <w:pPr>
        <w:spacing w:line="600" w:lineRule="exact"/>
        <w:ind w:firstLine="600" w:firstLineChars="200"/>
        <w:rPr>
          <w:rFonts w:ascii="仿宋_GB2312" w:hAnsi="仿宋" w:eastAsia="仿宋_GB2312" w:cs="Arial"/>
          <w:color w:val="191919"/>
          <w:sz w:val="30"/>
          <w:szCs w:val="30"/>
          <w:shd w:val="clear" w:color="auto" w:fill="FFFFFF"/>
        </w:rPr>
      </w:pPr>
      <w:r>
        <w:rPr>
          <w:rFonts w:hint="eastAsia" w:ascii="仿宋_GB2312" w:hAnsi="仿宋" w:eastAsia="仿宋_GB2312" w:cs="Arial"/>
          <w:color w:val="191919"/>
          <w:sz w:val="30"/>
          <w:szCs w:val="30"/>
          <w:shd w:val="clear" w:color="auto" w:fill="FFFFFF"/>
        </w:rPr>
        <w:t>3、</w:t>
      </w:r>
      <w:r>
        <w:rPr>
          <w:rFonts w:hint="eastAsia" w:ascii="仿宋_GB2312" w:hAnsi="仿宋" w:eastAsia="仿宋_GB2312" w:cs="仿宋_GB2312"/>
          <w:color w:val="191919"/>
          <w:sz w:val="30"/>
          <w:szCs w:val="30"/>
          <w:shd w:val="clear" w:color="auto" w:fill="FFFFFF"/>
        </w:rPr>
        <w:t>C栋</w:t>
      </w:r>
      <w:r>
        <w:rPr>
          <w:rFonts w:hint="eastAsia" w:ascii="仿宋_GB2312" w:hAnsi="仿宋" w:eastAsia="仿宋_GB2312" w:cs="Arial"/>
          <w:color w:val="191919"/>
          <w:sz w:val="30"/>
          <w:szCs w:val="30"/>
          <w:shd w:val="clear" w:color="auto" w:fill="FFFFFF"/>
        </w:rPr>
        <w:t>公寓可作为商业公寓、员工宿舍等自用及出租。</w:t>
      </w:r>
    </w:p>
    <w:p>
      <w:pPr>
        <w:spacing w:line="600" w:lineRule="exact"/>
        <w:ind w:firstLine="600" w:firstLineChars="200"/>
        <w:rPr>
          <w:rFonts w:ascii="仿宋_GB2312" w:hAnsi="仿宋" w:eastAsia="仿宋_GB2312"/>
          <w:sz w:val="30"/>
          <w:szCs w:val="30"/>
          <w:shd w:val="clear" w:color="auto" w:fill="FFFFFF"/>
        </w:rPr>
      </w:pPr>
      <w:r>
        <w:rPr>
          <w:rFonts w:hint="eastAsia" w:ascii="仿宋_GB2312" w:hAnsi="仿宋" w:eastAsia="仿宋_GB2312" w:cs="Arial"/>
          <w:color w:val="191919"/>
          <w:sz w:val="30"/>
          <w:szCs w:val="30"/>
          <w:shd w:val="clear" w:color="auto" w:fill="FFFFFF"/>
        </w:rPr>
        <w:t>（三）以不</w:t>
      </w:r>
      <w:r>
        <w:rPr>
          <w:rFonts w:hint="eastAsia" w:ascii="仿宋_GB2312" w:hAnsi="仿宋" w:eastAsia="仿宋_GB2312"/>
          <w:sz w:val="30"/>
          <w:szCs w:val="30"/>
        </w:rPr>
        <w:t>危及建筑安全，</w:t>
      </w:r>
      <w:r>
        <w:rPr>
          <w:rFonts w:hint="eastAsia" w:ascii="仿宋_GB2312" w:hAnsi="仿宋" w:eastAsia="仿宋_GB2312" w:cs="Arial"/>
          <w:color w:val="191919"/>
          <w:sz w:val="30"/>
          <w:szCs w:val="30"/>
          <w:shd w:val="clear" w:color="auto" w:fill="FFFFFF"/>
        </w:rPr>
        <w:t>不违反园区管理规定为前提，运营商</w:t>
      </w:r>
      <w:r>
        <w:rPr>
          <w:rFonts w:hint="eastAsia" w:ascii="仿宋_GB2312" w:hAnsi="仿宋" w:eastAsia="仿宋_GB2312"/>
          <w:sz w:val="30"/>
          <w:szCs w:val="30"/>
        </w:rPr>
        <w:t>可</w:t>
      </w:r>
      <w:r>
        <w:rPr>
          <w:rFonts w:hint="eastAsia" w:ascii="仿宋_GB2312" w:hAnsi="仿宋" w:eastAsia="仿宋_GB2312" w:cs="Arial"/>
          <w:color w:val="191919"/>
          <w:sz w:val="30"/>
          <w:szCs w:val="30"/>
          <w:shd w:val="clear" w:color="auto" w:fill="FFFFFF"/>
        </w:rPr>
        <w:t>根据运营工作需要对运营房产进行分割、合并、装修改造等，但费用由运营商自行承担。</w:t>
      </w:r>
    </w:p>
    <w:p>
      <w:pPr>
        <w:pStyle w:val="2"/>
        <w:spacing w:line="600" w:lineRule="exact"/>
        <w:ind w:firstLine="600" w:firstLineChars="200"/>
        <w:rPr>
          <w:rFonts w:ascii="黑体" w:hAnsi="黑体" w:eastAsia="黑体"/>
          <w:b w:val="0"/>
          <w:sz w:val="30"/>
          <w:szCs w:val="30"/>
        </w:rPr>
      </w:pPr>
      <w:r>
        <w:rPr>
          <w:rFonts w:hint="eastAsia" w:ascii="黑体" w:hAnsi="黑体" w:eastAsia="黑体"/>
          <w:b w:val="0"/>
          <w:sz w:val="30"/>
          <w:szCs w:val="30"/>
        </w:rPr>
        <w:t>三、合作模式、期限</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运营商向我公司统一支付租金，享有差额租金收益并承担风险。</w:t>
      </w:r>
    </w:p>
    <w:p>
      <w:pPr>
        <w:pStyle w:val="3"/>
        <w:spacing w:line="600" w:lineRule="exact"/>
        <w:ind w:firstLine="602" w:firstLineChars="200"/>
        <w:rPr>
          <w:rFonts w:ascii="楷体_GB2312" w:hAnsi="仿宋" w:eastAsia="楷体_GB2312"/>
          <w:sz w:val="30"/>
          <w:szCs w:val="30"/>
        </w:rPr>
      </w:pPr>
      <w:r>
        <w:rPr>
          <w:rFonts w:hint="eastAsia" w:ascii="楷体_GB2312" w:hAnsi="仿宋" w:eastAsia="楷体_GB2312"/>
          <w:sz w:val="30"/>
          <w:szCs w:val="30"/>
        </w:rPr>
        <w:t>（一）报价要求</w:t>
      </w:r>
    </w:p>
    <w:p>
      <w:pPr>
        <w:spacing w:line="600" w:lineRule="exact"/>
        <w:ind w:firstLine="600" w:firstLineChars="200"/>
        <w:rPr>
          <w:rFonts w:ascii="仿宋_GB2312" w:hAnsi="仿宋" w:eastAsia="仿宋_GB2312" w:cs="仿宋_GB2312"/>
          <w:sz w:val="30"/>
          <w:szCs w:val="30"/>
        </w:rPr>
      </w:pPr>
      <w:r>
        <w:rPr>
          <w:rFonts w:hint="eastAsia" w:ascii="仿宋_GB2312" w:hAnsi="仿宋" w:eastAsia="仿宋_GB2312"/>
          <w:sz w:val="30"/>
          <w:szCs w:val="30"/>
        </w:rPr>
        <w:t>1、运营商需对全部房产进行综合报价，报价为单位面积（元/</w:t>
      </w:r>
      <w:r>
        <w:rPr>
          <w:rFonts w:ascii="Segoe UI Symbol" w:hAnsi="Segoe UI Symbol" w:eastAsia="仿宋_GB2312" w:cs="Segoe UI Symbol"/>
          <w:sz w:val="30"/>
          <w:szCs w:val="30"/>
        </w:rPr>
        <w:t>㎡</w:t>
      </w:r>
      <w:r>
        <w:rPr>
          <w:rFonts w:hint="eastAsia" w:ascii="仿宋_GB2312" w:hAnsi="仿宋" w:eastAsia="仿宋_GB2312" w:cs="仿宋_GB2312"/>
          <w:sz w:val="30"/>
          <w:szCs w:val="30"/>
        </w:rPr>
        <w:t>）的月租金（车位不单独报价）。</w:t>
      </w:r>
    </w:p>
    <w:p>
      <w:pPr>
        <w:spacing w:line="600" w:lineRule="exact"/>
        <w:ind w:firstLine="600" w:firstLineChars="200"/>
        <w:jc w:val="left"/>
        <w:rPr>
          <w:rFonts w:ascii="仿宋_GB2312" w:hAnsi="仿宋" w:eastAsia="仿宋_GB2312"/>
          <w:sz w:val="30"/>
          <w:szCs w:val="30"/>
        </w:rPr>
      </w:pPr>
      <w:r>
        <w:rPr>
          <w:rFonts w:hint="eastAsia" w:ascii="仿宋_GB2312" w:hAnsi="仿宋" w:eastAsia="仿宋_GB2312" w:cs="仿宋_GB2312"/>
          <w:sz w:val="30"/>
          <w:szCs w:val="30"/>
        </w:rPr>
        <w:t>2、月租金是指运营商承担其</w:t>
      </w:r>
      <w:r>
        <w:rPr>
          <w:rFonts w:hint="eastAsia" w:ascii="仿宋_GB2312" w:hAnsi="仿宋" w:eastAsia="仿宋_GB2312"/>
          <w:sz w:val="30"/>
          <w:szCs w:val="30"/>
        </w:rPr>
        <w:t>所有运营费用、管理成本及税金后向我公司支付的月租金，必须是数字或数字加年增长率，不能是区间。</w:t>
      </w:r>
    </w:p>
    <w:p>
      <w:pPr>
        <w:spacing w:line="600" w:lineRule="exact"/>
        <w:ind w:firstLine="600" w:firstLineChars="200"/>
        <w:jc w:val="left"/>
        <w:rPr>
          <w:rFonts w:ascii="仿宋_GB2312" w:hAnsi="仿宋" w:eastAsia="仿宋_GB2312"/>
          <w:sz w:val="30"/>
          <w:szCs w:val="30"/>
        </w:rPr>
      </w:pPr>
      <w:r>
        <w:rPr>
          <w:rFonts w:hint="eastAsia" w:ascii="仿宋_GB2312" w:hAnsi="仿宋" w:eastAsia="仿宋_GB2312"/>
          <w:sz w:val="30"/>
          <w:szCs w:val="30"/>
        </w:rPr>
        <w:t>3、特别提醒：我公司对此次报价设有保留价（以项目附近房屋近期租金，运营成本，税负及运营商合理利润为测算依据），报价低于保留价时可能视为报价无效。</w:t>
      </w:r>
    </w:p>
    <w:p>
      <w:pPr>
        <w:pStyle w:val="3"/>
        <w:spacing w:line="600" w:lineRule="exact"/>
        <w:ind w:firstLine="602" w:firstLineChars="200"/>
        <w:rPr>
          <w:rFonts w:ascii="楷体_GB2312" w:hAnsi="仿宋" w:eastAsia="楷体_GB2312"/>
          <w:sz w:val="30"/>
          <w:szCs w:val="30"/>
        </w:rPr>
      </w:pPr>
      <w:r>
        <w:rPr>
          <w:rFonts w:hint="eastAsia" w:ascii="楷体_GB2312" w:hAnsi="仿宋" w:eastAsia="楷体_GB2312"/>
          <w:sz w:val="30"/>
          <w:szCs w:val="30"/>
        </w:rPr>
        <w:t>（二）合作期限</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除公寓以外的其他房产合作期限暂定为10年；公寓合作期限暂定为5+5年，即首次合作时间为5年，5年之后未发生出售情形的，可续约5年。</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作期间我公司每年对运营情况、读者品牌维护、建筑物使用维保、合同履约、运营商资信情况以及其他我公司认为必要的情况等进行全方位评价。如运营商严重违约或发生重大变故的，按合同约定终止合同。期满后优先选择原运营商合作。</w:t>
      </w:r>
    </w:p>
    <w:p>
      <w:pPr>
        <w:pStyle w:val="3"/>
        <w:spacing w:line="600" w:lineRule="exact"/>
        <w:ind w:firstLine="602" w:firstLineChars="200"/>
        <w:rPr>
          <w:rFonts w:ascii="楷体_GB2312" w:hAnsi="仿宋" w:eastAsia="楷体_GB2312"/>
          <w:sz w:val="30"/>
          <w:szCs w:val="30"/>
        </w:rPr>
      </w:pPr>
      <w:r>
        <w:rPr>
          <w:rFonts w:hint="eastAsia" w:ascii="楷体_GB2312" w:hAnsi="仿宋" w:eastAsia="楷体_GB2312"/>
          <w:sz w:val="30"/>
          <w:szCs w:val="30"/>
        </w:rPr>
        <w:t>（三）结算方式</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1、运营商按季度向我公司支付租金。</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2、运营商每季度首月前10日内支付本季度租金，我公司收到租金后5个工作日内开具相关发票。</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3、运营商合同签订后15日内须支付履约保证金，金额为合同约定的一个季度的租金。</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4、本次合作我公司不考虑免租期、维修期、装修期等因素，需在房产交付之日起每年按四个完整季度支付租金。</w:t>
      </w:r>
    </w:p>
    <w:p>
      <w:pPr>
        <w:pStyle w:val="2"/>
        <w:spacing w:line="600" w:lineRule="exact"/>
        <w:ind w:firstLine="600" w:firstLineChars="200"/>
        <w:rPr>
          <w:rFonts w:ascii="黑体" w:hAnsi="黑体" w:eastAsia="黑体"/>
          <w:b w:val="0"/>
          <w:sz w:val="30"/>
          <w:szCs w:val="30"/>
        </w:rPr>
      </w:pPr>
      <w:r>
        <w:rPr>
          <w:rFonts w:hint="eastAsia" w:ascii="黑体" w:hAnsi="黑体" w:eastAsia="黑体"/>
          <w:b w:val="0"/>
          <w:sz w:val="30"/>
          <w:szCs w:val="30"/>
          <w:lang w:val="en-US" w:eastAsia="zh-CN"/>
        </w:rPr>
        <w:t>四</w:t>
      </w:r>
      <w:r>
        <w:rPr>
          <w:rFonts w:hint="eastAsia" w:ascii="黑体" w:hAnsi="黑体" w:eastAsia="黑体"/>
          <w:b w:val="0"/>
          <w:sz w:val="30"/>
          <w:szCs w:val="30"/>
        </w:rPr>
        <w:t>、运营商资格要求</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运营商认同“读者”品牌及我公司的经营理念，同时应具备以下条件：</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（一）具有独立法人资格，持有工商行政管理部门核发的有效企业法人营业执照（成立日期或注册日期在2018年12月31日以前）。</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（二）拥有固定且专业的运营团队。需提供运营团队主要成员简介并提供近三个月中任意一个月份依法缴纳社会保障资金的证明资料复印件。</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（三）具有良好的财务状况，近一年年末净资产不小于500万元。需提供2019年财务报表，2020年财务报表、2021年财务报表，其中2020年财务报表需经过第三方审计(包含资产负债表、利润表、现金流量表)。</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（四）近五年有（2017年至今）类似办公楼或地产、园区的招商运营业绩，需提供业绩说明及合同或中标通知书复印件。</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五）公司及实际控制人征信无瑕疵，商业信誉良好，无重大未决诉讼。未被列入失信被执行人、重大税收违法案件当事人名单、政府采购严重违法失信行为记录名单。需提供信用中国（https://www.creditchina.gov.cn/）、中国执行信息公开网（http://zxgk.court.gov.cn/zhongben/）中国裁判文书网（http://wenshu.court.gov.cn/）的查询结果。</w:t>
      </w:r>
    </w:p>
    <w:p>
      <w:pPr>
        <w:pStyle w:val="2"/>
        <w:spacing w:line="600" w:lineRule="exact"/>
        <w:ind w:firstLine="600" w:firstLineChars="200"/>
        <w:rPr>
          <w:rFonts w:ascii="黑体" w:hAnsi="黑体" w:eastAsia="黑体"/>
          <w:b w:val="0"/>
          <w:sz w:val="30"/>
          <w:szCs w:val="30"/>
        </w:rPr>
      </w:pPr>
      <w:r>
        <w:rPr>
          <w:rFonts w:hint="eastAsia" w:ascii="黑体" w:hAnsi="黑体" w:eastAsia="黑体"/>
          <w:b w:val="0"/>
          <w:sz w:val="30"/>
          <w:szCs w:val="30"/>
          <w:lang w:val="en-US" w:eastAsia="zh-CN"/>
        </w:rPr>
        <w:t>五</w:t>
      </w:r>
      <w:r>
        <w:rPr>
          <w:rFonts w:hint="eastAsia" w:ascii="黑体" w:hAnsi="黑体" w:eastAsia="黑体"/>
          <w:b w:val="0"/>
          <w:sz w:val="30"/>
          <w:szCs w:val="30"/>
        </w:rPr>
        <w:t>、材料要求</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（一）企业法人营业执照副本复印件；</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（二）企业财务报表；</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（三）运营团队主要成员介绍，</w:t>
      </w:r>
      <w:r>
        <w:rPr>
          <w:rFonts w:hint="eastAsia" w:ascii="仿宋_GB2312" w:hAnsi="仿宋" w:eastAsia="仿宋_GB2312"/>
          <w:sz w:val="30"/>
          <w:szCs w:val="30"/>
        </w:rPr>
        <w:t>近三个月中任意一个月份依法缴纳社会保障资金的证明资料复印件</w:t>
      </w: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（四）企业征信查询结果；</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（五）同类业绩介绍（附合同或中标通知书复印件）；</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（六）本项目拟运营方案；</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（七）报名表（见附件）；</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（八）法人授权函（见附件）；</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（九）报价单（见附件）。</w:t>
      </w:r>
    </w:p>
    <w:p>
      <w:pPr>
        <w:pStyle w:val="2"/>
        <w:spacing w:line="600" w:lineRule="exact"/>
        <w:ind w:firstLine="600" w:firstLineChars="200"/>
        <w:rPr>
          <w:rFonts w:ascii="黑体" w:hAnsi="黑体" w:eastAsia="黑体"/>
          <w:b w:val="0"/>
          <w:sz w:val="30"/>
          <w:szCs w:val="30"/>
        </w:rPr>
      </w:pPr>
      <w:r>
        <w:rPr>
          <w:rFonts w:hint="eastAsia" w:ascii="黑体" w:hAnsi="黑体" w:eastAsia="黑体"/>
          <w:b w:val="0"/>
          <w:sz w:val="30"/>
          <w:szCs w:val="30"/>
          <w:lang w:val="en-US" w:eastAsia="zh-CN"/>
        </w:rPr>
        <w:t>六</w:t>
      </w:r>
      <w:r>
        <w:rPr>
          <w:rFonts w:hint="eastAsia" w:ascii="黑体" w:hAnsi="黑体" w:eastAsia="黑体"/>
          <w:b w:val="0"/>
          <w:sz w:val="30"/>
          <w:szCs w:val="30"/>
        </w:rPr>
        <w:t>、工作步骤</w:t>
      </w:r>
    </w:p>
    <w:p>
      <w:pPr>
        <w:pStyle w:val="3"/>
        <w:spacing w:line="600" w:lineRule="exact"/>
        <w:ind w:firstLine="602" w:firstLineChars="200"/>
        <w:rPr>
          <w:rFonts w:ascii="楷体_GB2312" w:hAnsi="仿宋" w:eastAsia="楷体_GB2312"/>
          <w:sz w:val="30"/>
          <w:szCs w:val="30"/>
        </w:rPr>
      </w:pPr>
      <w:r>
        <w:rPr>
          <w:rFonts w:hint="eastAsia" w:ascii="楷体_GB2312" w:hAnsi="仿宋" w:eastAsia="楷体_GB2312"/>
          <w:sz w:val="30"/>
          <w:szCs w:val="30"/>
        </w:rPr>
        <w:t>（一）征集报名</w:t>
      </w:r>
    </w:p>
    <w:p>
      <w:pPr>
        <w:spacing w:line="600" w:lineRule="exact"/>
        <w:ind w:firstLine="600" w:firstLineChars="200"/>
        <w:rPr>
          <w:rFonts w:ascii="仿宋_GB2312" w:hAnsi="仿宋" w:eastAsia="仿宋_GB2312"/>
          <w:sz w:val="30"/>
          <w:szCs w:val="30"/>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意向运营商请于2022年 1月13日18:00前将相关资料盖章扫描后提交本公司。</w:t>
      </w:r>
      <w:r>
        <w:rPr>
          <w:rFonts w:hint="eastAsia" w:ascii="仿宋_GB2312" w:hAnsi="仿宋" w:eastAsia="仿宋_GB2312"/>
          <w:sz w:val="30"/>
          <w:szCs w:val="30"/>
        </w:rPr>
        <w:t>在此期间运营商可就本次选聘相关事项进行电话或上门咨询。</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 xml:space="preserve">相关资料包括：本公告第四条中第（一）企业法人营业执照副本复印件、（二）2021年财务报表、（三）运营团队主要成员介绍、（四）企业征信查询结果、（七）报名表。 </w:t>
      </w:r>
    </w:p>
    <w:p>
      <w:pPr>
        <w:spacing w:line="600" w:lineRule="exact"/>
        <w:ind w:firstLine="600" w:firstLineChars="200"/>
        <w:rPr>
          <w:rFonts w:ascii="仿宋_GB2312" w:hAnsi="仿宋" w:eastAsia="仿宋_GB2312"/>
          <w:color w:val="0D0D0D" w:themeColor="text1" w:themeTint="F2"/>
          <w:sz w:val="30"/>
          <w:szCs w:val="30"/>
          <w14:textFill>
            <w14:solidFill>
              <w14:schemeClr w14:val="tx1">
                <w14:lumMod w14:val="95000"/>
                <w14:lumOff w14:val="5000"/>
              </w14:schemeClr>
            </w14:solidFill>
          </w14:textFill>
        </w:rPr>
      </w:pP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材料发送邮箱：2462063543@qq.com</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联系人：李先生  刘先生 </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电话：0931-2130697  0931-2130698</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地址：兰州市城关区读者大道568号读者大厦B座投资运营部</w:t>
      </w:r>
    </w:p>
    <w:p>
      <w:pPr>
        <w:pStyle w:val="3"/>
        <w:spacing w:line="600" w:lineRule="exact"/>
        <w:ind w:firstLine="602" w:firstLineChars="200"/>
        <w:rPr>
          <w:rFonts w:ascii="楷体_GB2312" w:hAnsi="仿宋" w:eastAsia="楷体_GB2312"/>
          <w:sz w:val="30"/>
          <w:szCs w:val="30"/>
        </w:rPr>
      </w:pPr>
      <w:r>
        <w:rPr>
          <w:rFonts w:hint="eastAsia" w:ascii="楷体_GB2312" w:hAnsi="仿宋" w:eastAsia="楷体_GB2312"/>
          <w:sz w:val="30"/>
          <w:szCs w:val="30"/>
        </w:rPr>
        <w:t>（二）现场踏勘</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报名结束后，我公司将组织符合条件的运营商进行现场踏勘。</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踏勘时间：2022年1月中下旬，具体时间另行通知。</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踏勘地点：广东省惠州市惠城区四环南路3号读者文化园</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费用及人数：不限人数，费用自理。</w:t>
      </w:r>
    </w:p>
    <w:p>
      <w:pPr>
        <w:pStyle w:val="3"/>
        <w:spacing w:line="600" w:lineRule="exact"/>
        <w:ind w:firstLine="602" w:firstLineChars="200"/>
        <w:rPr>
          <w:rFonts w:ascii="楷体_GB2312" w:hAnsi="仿宋" w:eastAsia="楷体_GB2312"/>
          <w:sz w:val="30"/>
          <w:szCs w:val="30"/>
        </w:rPr>
      </w:pPr>
      <w:r>
        <w:rPr>
          <w:rFonts w:hint="eastAsia" w:ascii="楷体_GB2312" w:hAnsi="仿宋" w:eastAsia="楷体_GB2312"/>
          <w:sz w:val="30"/>
          <w:szCs w:val="30"/>
        </w:rPr>
        <w:t>（三）组织评选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1、材料提交</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现场踏勘结束后，运营商应在10日内将本公告第四条所有材料以及运营商认为必要的其他材料的电子版（U盘）及纸质版（3份,加盖公章），密封后提交或邮寄至我公司。</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邮寄地址：甘肃省兰州市城关区读者大道568号读者大厦B座投资运营部</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收件人：李先生</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联系电话：0931-2130697</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2、打分测评</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我公司将组织专业评审工作小组集中对报名参选的运营商统一评分，筛选评分靠前的运营商作为意向运营商。在此期间参选运营商需保持通讯畅通，无需前往现场。</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3、实地调研</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选聘工作将视工作需要可能对意向运营商进行实地调研，调研内容包括但不限于公司经营状况及过往成功案例、正在运营的项目等。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4、研究确定</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根据公司相关规定将意向运营商选聘建议提交公司相关会议研究确定。</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5、公示签约</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公司将对拟签约的运营商在公司官网进行为期5日的公示，公示结束无异议后正式签署合同。</w:t>
      </w:r>
    </w:p>
    <w:p>
      <w:pPr>
        <w:pStyle w:val="2"/>
        <w:spacing w:line="600" w:lineRule="exact"/>
        <w:ind w:firstLine="600" w:firstLineChars="200"/>
        <w:rPr>
          <w:rFonts w:ascii="黑体" w:hAnsi="黑体" w:eastAsia="黑体"/>
          <w:b w:val="0"/>
          <w:sz w:val="30"/>
          <w:szCs w:val="30"/>
        </w:rPr>
      </w:pPr>
      <w:r>
        <w:rPr>
          <w:rFonts w:hint="eastAsia" w:ascii="黑体" w:hAnsi="黑体" w:eastAsia="黑体"/>
          <w:b w:val="0"/>
          <w:sz w:val="30"/>
          <w:szCs w:val="30"/>
          <w:lang w:val="en-US" w:eastAsia="zh-CN"/>
        </w:rPr>
        <w:t>七</w:t>
      </w:r>
      <w:r>
        <w:rPr>
          <w:rFonts w:hint="eastAsia" w:ascii="黑体" w:hAnsi="黑体" w:eastAsia="黑体"/>
          <w:b w:val="0"/>
          <w:sz w:val="30"/>
          <w:szCs w:val="30"/>
        </w:rPr>
        <w:t>、监督投诉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本次运营商选聘工作由公司审计部和纪检部门全程进行监督并受理投诉。</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审计部监督联系人：李老师</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审计部监督电话：0931-2130587</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纪委办监督联系人：刘老师</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纪委办监督电话：0931-2130559</w:t>
      </w:r>
    </w:p>
    <w:p>
      <w:pPr>
        <w:pStyle w:val="2"/>
        <w:spacing w:line="600" w:lineRule="exact"/>
        <w:ind w:firstLine="600" w:firstLineChars="200"/>
        <w:rPr>
          <w:rFonts w:ascii="黑体" w:hAnsi="黑体" w:eastAsia="黑体"/>
          <w:b w:val="0"/>
          <w:sz w:val="30"/>
          <w:szCs w:val="30"/>
        </w:rPr>
      </w:pPr>
      <w:r>
        <w:rPr>
          <w:rFonts w:hint="eastAsia" w:ascii="黑体" w:hAnsi="黑体" w:eastAsia="黑体"/>
          <w:b w:val="0"/>
          <w:sz w:val="30"/>
          <w:szCs w:val="30"/>
          <w:lang w:val="en-US" w:eastAsia="zh-CN"/>
        </w:rPr>
        <w:t>八</w:t>
      </w:r>
      <w:bookmarkStart w:id="0" w:name="_GoBack"/>
      <w:bookmarkEnd w:id="0"/>
      <w:r>
        <w:rPr>
          <w:rFonts w:hint="eastAsia" w:ascii="黑体" w:hAnsi="黑体" w:eastAsia="黑体"/>
          <w:b w:val="0"/>
          <w:sz w:val="30"/>
          <w:szCs w:val="30"/>
        </w:rPr>
        <w:t>、注意事项</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（一）本次选聘范围为全国运营商，方式为市场化公开选聘，公告及结果均在读者传媒官网公布。</w:t>
      </w:r>
    </w:p>
    <w:p>
      <w:pPr>
        <w:pStyle w:val="16"/>
        <w:spacing w:line="600" w:lineRule="exact"/>
        <w:ind w:firstLine="600"/>
        <w:rPr>
          <w:rFonts w:ascii="仿宋_GB2312" w:hAnsi="仿宋" w:eastAsia="仿宋_GB2312"/>
          <w:sz w:val="30"/>
          <w:szCs w:val="30"/>
        </w:rPr>
      </w:pPr>
      <w:r>
        <w:rPr>
          <w:rFonts w:hint="eastAsia" w:ascii="仿宋_GB2312" w:hAnsi="仿宋" w:eastAsia="仿宋_GB2312"/>
          <w:sz w:val="30"/>
          <w:szCs w:val="30"/>
        </w:rPr>
        <w:t>（二）本次选聘过程中运营商提交的任何形式的纸质材料及口头承诺均构成合同承诺的一部分。</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（三）本次选聘确定运营商经我公司履行完审批程序后，双方签署具体合同。</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（四）参选运营商须承诺不以任何方式向任何人和实体披露本次选聘相关信息；不以其他任何目的或用途使用本次选聘的相关信息；不许可任何第三方使用该信息。</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（五）参选运营商须按本通知的要求提供客观、真实的询价材料，我方不退还递交的材料。</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六）如存在包括但不限于我公司关于运营范围、运营内容、运营要求和结算方式等方面重大调整，运营范围及具体内容、具体方式等重要条款无法达成一致意见或不能满足我公司相关要求等导致无法操作之情形，将取消选聘结果。</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（七）运营招商过程中遵守国家法律法规，遵守意识形态要求、民族宗教相关政策，不得危害社会公序良俗，不得扰乱社会秩序、破坏社会稳定。</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（八）</w:t>
      </w:r>
      <w:r>
        <w:rPr>
          <w:rFonts w:hint="eastAsia" w:ascii="仿宋_GB2312" w:hAnsi="仿宋" w:eastAsia="仿宋_GB2312"/>
          <w:color w:val="0D0D0D" w:themeColor="text1" w:themeTint="F2"/>
          <w:sz w:val="30"/>
          <w:szCs w:val="30"/>
          <w14:textFill>
            <w14:solidFill>
              <w14:schemeClr w14:val="tx1">
                <w14:lumMod w14:val="95000"/>
                <w14:lumOff w14:val="5000"/>
              </w14:schemeClr>
            </w14:solidFill>
          </w14:textFill>
        </w:rPr>
        <w:t>本次选聘不接受联合体报名。</w:t>
      </w:r>
      <w:r>
        <w:rPr>
          <w:rFonts w:hint="eastAsia" w:ascii="仿宋_GB2312" w:hAnsi="仿宋" w:eastAsia="仿宋_GB2312"/>
          <w:sz w:val="30"/>
          <w:szCs w:val="30"/>
        </w:rPr>
        <w:t>未经我公司同意，中选运营商不得将本项目部分或全部运营工作转让第三人承担。</w:t>
      </w:r>
    </w:p>
    <w:p>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（九）我公司保留本次选聘的最终解释权和修改权。</w:t>
      </w:r>
    </w:p>
    <w:p>
      <w:pPr>
        <w:spacing w:line="600" w:lineRule="exact"/>
        <w:ind w:right="1280" w:firstLine="640" w:firstLineChars="200"/>
        <w:rPr>
          <w:rFonts w:ascii="仿宋_GB2312" w:hAnsi="仿宋" w:eastAsia="仿宋_GB2312"/>
          <w:sz w:val="32"/>
          <w:szCs w:val="32"/>
        </w:rPr>
      </w:pPr>
      <w:r>
        <w:rPr>
          <w:rFonts w:hint="eastAsia" w:ascii="仿宋_GB2312" w:hAnsi="仿宋" w:eastAsia="仿宋_GB2312"/>
          <w:sz w:val="32"/>
          <w:szCs w:val="32"/>
        </w:rPr>
        <w:t>附件：1.报名表</w:t>
      </w:r>
    </w:p>
    <w:p>
      <w:pPr>
        <w:spacing w:line="600" w:lineRule="exact"/>
        <w:ind w:right="1280" w:firstLine="640" w:firstLineChars="200"/>
        <w:rPr>
          <w:rFonts w:ascii="仿宋_GB2312" w:hAnsi="仿宋" w:eastAsia="仿宋_GB2312"/>
          <w:sz w:val="32"/>
          <w:szCs w:val="32"/>
        </w:rPr>
      </w:pPr>
      <w:r>
        <w:rPr>
          <w:rFonts w:hint="eastAsia" w:ascii="仿宋_GB2312" w:hAnsi="仿宋" w:eastAsia="仿宋_GB2312"/>
          <w:sz w:val="32"/>
          <w:szCs w:val="32"/>
        </w:rPr>
        <w:t xml:space="preserve">      2.法人委托授权书</w:t>
      </w:r>
    </w:p>
    <w:p>
      <w:pPr>
        <w:spacing w:line="600" w:lineRule="exact"/>
        <w:ind w:right="1280" w:firstLine="1600" w:firstLineChars="500"/>
        <w:rPr>
          <w:rFonts w:ascii="仿宋_GB2312" w:hAnsi="仿宋" w:eastAsia="仿宋_GB2312"/>
          <w:sz w:val="32"/>
          <w:szCs w:val="32"/>
        </w:rPr>
      </w:pPr>
      <w:r>
        <w:rPr>
          <w:rFonts w:hint="eastAsia" w:ascii="仿宋_GB2312" w:hAnsi="仿宋" w:eastAsia="仿宋_GB2312"/>
          <w:sz w:val="32"/>
          <w:szCs w:val="32"/>
        </w:rPr>
        <w:t>3.报价单</w:t>
      </w:r>
    </w:p>
    <w:p>
      <w:pPr>
        <w:spacing w:line="600" w:lineRule="exact"/>
        <w:ind w:firstLine="1600" w:firstLineChars="500"/>
        <w:jc w:val="left"/>
        <w:rPr>
          <w:rFonts w:ascii="仿宋_GB2312" w:hAnsi="仿宋" w:eastAsia="仿宋_GB2312"/>
          <w:sz w:val="32"/>
          <w:szCs w:val="32"/>
        </w:rPr>
      </w:pPr>
      <w:r>
        <w:rPr>
          <w:rFonts w:hint="eastAsia" w:ascii="仿宋_GB2312" w:hAnsi="仿宋" w:eastAsia="仿宋_GB2312"/>
          <w:sz w:val="32"/>
          <w:szCs w:val="32"/>
        </w:rPr>
        <w:t>4.评分表</w:t>
      </w:r>
    </w:p>
    <w:p>
      <w:pPr>
        <w:spacing w:line="600" w:lineRule="exact"/>
        <w:ind w:firstLine="1600" w:firstLineChars="500"/>
        <w:jc w:val="left"/>
        <w:rPr>
          <w:rFonts w:ascii="仿宋_GB2312" w:hAnsi="仿宋" w:eastAsia="仿宋_GB2312"/>
          <w:sz w:val="32"/>
          <w:szCs w:val="32"/>
        </w:rPr>
      </w:pPr>
    </w:p>
    <w:p>
      <w:pPr>
        <w:spacing w:line="600" w:lineRule="exact"/>
        <w:ind w:firstLine="1600" w:firstLineChars="500"/>
        <w:jc w:val="left"/>
        <w:rPr>
          <w:rFonts w:ascii="仿宋_GB2312" w:hAnsi="仿宋" w:eastAsia="仿宋_GB2312"/>
          <w:sz w:val="32"/>
          <w:szCs w:val="32"/>
        </w:rPr>
      </w:pPr>
    </w:p>
    <w:p>
      <w:pPr>
        <w:pStyle w:val="16"/>
        <w:spacing w:line="600" w:lineRule="exact"/>
        <w:ind w:left="420" w:right="480" w:firstLine="640"/>
        <w:jc w:val="right"/>
        <w:rPr>
          <w:rFonts w:ascii="仿宋_GB2312" w:hAnsi="仿宋" w:eastAsia="仿宋_GB2312"/>
          <w:sz w:val="32"/>
          <w:szCs w:val="32"/>
        </w:rPr>
      </w:pPr>
      <w:r>
        <w:rPr>
          <w:rFonts w:hint="eastAsia" w:ascii="仿宋_GB2312" w:hAnsi="仿宋" w:eastAsia="仿宋_GB2312"/>
          <w:sz w:val="32"/>
          <w:szCs w:val="32"/>
        </w:rPr>
        <w:t>读者出版传媒股份有限公司</w:t>
      </w:r>
    </w:p>
    <w:p>
      <w:pPr>
        <w:pStyle w:val="16"/>
        <w:spacing w:line="600" w:lineRule="exact"/>
        <w:ind w:left="420" w:right="960" w:firstLine="640"/>
        <w:jc w:val="right"/>
        <w:rPr>
          <w:rFonts w:ascii="仿宋_GB2312" w:hAnsi="仿宋" w:eastAsia="仿宋_GB2312"/>
          <w:sz w:val="32"/>
          <w:szCs w:val="32"/>
        </w:rPr>
      </w:pPr>
      <w:r>
        <w:rPr>
          <w:rFonts w:hint="eastAsia" w:ascii="仿宋_GB2312" w:hAnsi="仿宋" w:eastAsia="仿宋_GB2312"/>
          <w:sz w:val="32"/>
          <w:szCs w:val="32"/>
        </w:rPr>
        <w:t>2022年1月6日</w:t>
      </w:r>
    </w:p>
    <w:p>
      <w:pPr>
        <w:ind w:right="1280" w:firstLine="640" w:firstLineChars="200"/>
        <w:rPr>
          <w:rFonts w:ascii="仿宋_GB2312" w:hAnsi="仿宋" w:eastAsia="仿宋_GB2312"/>
          <w:sz w:val="32"/>
          <w:szCs w:val="32"/>
        </w:rPr>
        <w:sectPr>
          <w:footerReference r:id="rId3" w:type="default"/>
          <w:pgSz w:w="11906" w:h="16838"/>
          <w:pgMar w:top="1276" w:right="1800" w:bottom="1418" w:left="1800" w:header="851" w:footer="992" w:gutter="0"/>
          <w:cols w:space="425" w:num="1"/>
          <w:docGrid w:type="lines" w:linePitch="312" w:charSpace="0"/>
        </w:sectPr>
      </w:pPr>
    </w:p>
    <w:p>
      <w:pPr>
        <w:ind w:right="1280"/>
        <w:rPr>
          <w:rFonts w:ascii="仿宋" w:hAnsi="仿宋" w:eastAsia="仿宋"/>
          <w:sz w:val="32"/>
          <w:szCs w:val="32"/>
        </w:rPr>
      </w:pPr>
      <w:r>
        <w:rPr>
          <w:rFonts w:hint="eastAsia" w:ascii="仿宋" w:hAnsi="仿宋" w:eastAsia="仿宋"/>
          <w:sz w:val="32"/>
          <w:szCs w:val="32"/>
        </w:rPr>
        <w:t>附件一：报名表</w:t>
      </w:r>
    </w:p>
    <w:tbl>
      <w:tblPr>
        <w:tblStyle w:val="11"/>
        <w:tblW w:w="8684" w:type="dxa"/>
        <w:tblInd w:w="0" w:type="dxa"/>
        <w:tblLayout w:type="autofit"/>
        <w:tblCellMar>
          <w:top w:w="0" w:type="dxa"/>
          <w:left w:w="108" w:type="dxa"/>
          <w:bottom w:w="0" w:type="dxa"/>
          <w:right w:w="108" w:type="dxa"/>
        </w:tblCellMar>
      </w:tblPr>
      <w:tblGrid>
        <w:gridCol w:w="2293"/>
        <w:gridCol w:w="6391"/>
      </w:tblGrid>
      <w:tr>
        <w:tblPrEx>
          <w:tblCellMar>
            <w:top w:w="0" w:type="dxa"/>
            <w:left w:w="108" w:type="dxa"/>
            <w:bottom w:w="0" w:type="dxa"/>
            <w:right w:w="108" w:type="dxa"/>
          </w:tblCellMar>
        </w:tblPrEx>
        <w:trPr>
          <w:trHeight w:val="1004" w:hRule="atLeast"/>
        </w:trPr>
        <w:tc>
          <w:tcPr>
            <w:tcW w:w="8684" w:type="dxa"/>
            <w:gridSpan w:val="2"/>
            <w:tcBorders>
              <w:top w:val="nil"/>
              <w:left w:val="nil"/>
              <w:bottom w:val="nil"/>
              <w:right w:val="nil"/>
            </w:tcBorders>
            <w:shd w:val="clear" w:color="auto" w:fill="auto"/>
            <w:noWrap/>
            <w:vAlign w:val="bottom"/>
          </w:tcPr>
          <w:p>
            <w:pPr>
              <w:widowControl/>
              <w:jc w:val="center"/>
              <w:rPr>
                <w:rFonts w:ascii="仿宋_GB2312" w:hAnsi="微软雅黑" w:eastAsia="仿宋_GB2312" w:cs="宋体"/>
                <w:b/>
                <w:bCs/>
                <w:color w:val="000000"/>
                <w:kern w:val="0"/>
                <w:sz w:val="28"/>
                <w:szCs w:val="28"/>
              </w:rPr>
            </w:pPr>
            <w:r>
              <w:rPr>
                <w:rFonts w:hint="eastAsia" w:ascii="仿宋_GB2312" w:hAnsi="微软雅黑" w:eastAsia="仿宋_GB2312" w:cs="宋体"/>
                <w:b/>
                <w:bCs/>
                <w:color w:val="000000"/>
                <w:kern w:val="0"/>
                <w:sz w:val="28"/>
                <w:szCs w:val="40"/>
              </w:rPr>
              <w:t>报名表</w:t>
            </w:r>
          </w:p>
        </w:tc>
      </w:tr>
      <w:tr>
        <w:tblPrEx>
          <w:tblCellMar>
            <w:top w:w="0" w:type="dxa"/>
            <w:left w:w="108" w:type="dxa"/>
            <w:bottom w:w="0" w:type="dxa"/>
            <w:right w:w="108" w:type="dxa"/>
          </w:tblCellMar>
        </w:tblPrEx>
        <w:trPr>
          <w:trHeight w:val="1112" w:hRule="atLeast"/>
        </w:trPr>
        <w:tc>
          <w:tcPr>
            <w:tcW w:w="2293" w:type="dxa"/>
            <w:tcBorders>
              <w:top w:val="single" w:color="BFBFBF" w:sz="4" w:space="0"/>
              <w:left w:val="single" w:color="BFBFBF" w:sz="4" w:space="0"/>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项目名称</w:t>
            </w:r>
          </w:p>
        </w:tc>
        <w:tc>
          <w:tcPr>
            <w:tcW w:w="6391" w:type="dxa"/>
            <w:tcBorders>
              <w:top w:val="single" w:color="BFBFBF" w:sz="4" w:space="0"/>
              <w:left w:val="nil"/>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惠州读者文化园部分房产运营项目</w:t>
            </w:r>
          </w:p>
        </w:tc>
      </w:tr>
      <w:tr>
        <w:tblPrEx>
          <w:tblCellMar>
            <w:top w:w="0" w:type="dxa"/>
            <w:left w:w="108" w:type="dxa"/>
            <w:bottom w:w="0" w:type="dxa"/>
            <w:right w:w="108" w:type="dxa"/>
          </w:tblCellMar>
        </w:tblPrEx>
        <w:trPr>
          <w:trHeight w:val="1713" w:hRule="atLeast"/>
        </w:trPr>
        <w:tc>
          <w:tcPr>
            <w:tcW w:w="2293" w:type="dxa"/>
            <w:tcBorders>
              <w:top w:val="nil"/>
              <w:left w:val="single" w:color="BFBFBF" w:sz="4" w:space="0"/>
              <w:bottom w:val="single" w:color="BFBFBF" w:sz="4" w:space="0"/>
              <w:right w:val="single" w:color="BFBFBF" w:sz="4" w:space="0"/>
            </w:tcBorders>
            <w:shd w:val="clear" w:color="auto" w:fill="auto"/>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参与选聘单位全称（加盖公章）</w:t>
            </w:r>
          </w:p>
        </w:tc>
        <w:tc>
          <w:tcPr>
            <w:tcW w:w="6391" w:type="dxa"/>
            <w:tcBorders>
              <w:top w:val="nil"/>
              <w:left w:val="nil"/>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　</w:t>
            </w:r>
          </w:p>
        </w:tc>
      </w:tr>
      <w:tr>
        <w:tblPrEx>
          <w:tblCellMar>
            <w:top w:w="0" w:type="dxa"/>
            <w:left w:w="108" w:type="dxa"/>
            <w:bottom w:w="0" w:type="dxa"/>
            <w:right w:w="108" w:type="dxa"/>
          </w:tblCellMar>
        </w:tblPrEx>
        <w:trPr>
          <w:trHeight w:val="1004" w:hRule="atLeast"/>
        </w:trPr>
        <w:tc>
          <w:tcPr>
            <w:tcW w:w="2293" w:type="dxa"/>
            <w:tcBorders>
              <w:top w:val="nil"/>
              <w:left w:val="single" w:color="BFBFBF" w:sz="4" w:space="0"/>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联系人</w:t>
            </w:r>
          </w:p>
        </w:tc>
        <w:tc>
          <w:tcPr>
            <w:tcW w:w="6391" w:type="dxa"/>
            <w:tcBorders>
              <w:top w:val="nil"/>
              <w:left w:val="nil"/>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　</w:t>
            </w:r>
          </w:p>
        </w:tc>
      </w:tr>
      <w:tr>
        <w:tblPrEx>
          <w:tblCellMar>
            <w:top w:w="0" w:type="dxa"/>
            <w:left w:w="108" w:type="dxa"/>
            <w:bottom w:w="0" w:type="dxa"/>
            <w:right w:w="108" w:type="dxa"/>
          </w:tblCellMar>
        </w:tblPrEx>
        <w:trPr>
          <w:trHeight w:val="1004" w:hRule="atLeast"/>
        </w:trPr>
        <w:tc>
          <w:tcPr>
            <w:tcW w:w="2293" w:type="dxa"/>
            <w:tcBorders>
              <w:top w:val="nil"/>
              <w:left w:val="single" w:color="BFBFBF" w:sz="4" w:space="0"/>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联系电话</w:t>
            </w:r>
          </w:p>
        </w:tc>
        <w:tc>
          <w:tcPr>
            <w:tcW w:w="6391" w:type="dxa"/>
            <w:tcBorders>
              <w:top w:val="nil"/>
              <w:left w:val="nil"/>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　</w:t>
            </w:r>
          </w:p>
        </w:tc>
      </w:tr>
      <w:tr>
        <w:tblPrEx>
          <w:tblCellMar>
            <w:top w:w="0" w:type="dxa"/>
            <w:left w:w="108" w:type="dxa"/>
            <w:bottom w:w="0" w:type="dxa"/>
            <w:right w:w="108" w:type="dxa"/>
          </w:tblCellMar>
        </w:tblPrEx>
        <w:trPr>
          <w:trHeight w:val="1004" w:hRule="atLeast"/>
        </w:trPr>
        <w:tc>
          <w:tcPr>
            <w:tcW w:w="2293" w:type="dxa"/>
            <w:tcBorders>
              <w:top w:val="nil"/>
              <w:left w:val="single" w:color="BFBFBF" w:sz="4" w:space="0"/>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单位电话</w:t>
            </w:r>
          </w:p>
        </w:tc>
        <w:tc>
          <w:tcPr>
            <w:tcW w:w="6391" w:type="dxa"/>
            <w:tcBorders>
              <w:top w:val="nil"/>
              <w:left w:val="nil"/>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　</w:t>
            </w:r>
          </w:p>
        </w:tc>
      </w:tr>
      <w:tr>
        <w:tblPrEx>
          <w:tblCellMar>
            <w:top w:w="0" w:type="dxa"/>
            <w:left w:w="108" w:type="dxa"/>
            <w:bottom w:w="0" w:type="dxa"/>
            <w:right w:w="108" w:type="dxa"/>
          </w:tblCellMar>
        </w:tblPrEx>
        <w:trPr>
          <w:trHeight w:val="1004" w:hRule="atLeast"/>
        </w:trPr>
        <w:tc>
          <w:tcPr>
            <w:tcW w:w="2293" w:type="dxa"/>
            <w:tcBorders>
              <w:top w:val="nil"/>
              <w:left w:val="single" w:color="BFBFBF" w:sz="4" w:space="0"/>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单位地址</w:t>
            </w:r>
          </w:p>
        </w:tc>
        <w:tc>
          <w:tcPr>
            <w:tcW w:w="6391" w:type="dxa"/>
            <w:tcBorders>
              <w:top w:val="nil"/>
              <w:left w:val="nil"/>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　</w:t>
            </w:r>
          </w:p>
        </w:tc>
      </w:tr>
      <w:tr>
        <w:tblPrEx>
          <w:tblCellMar>
            <w:top w:w="0" w:type="dxa"/>
            <w:left w:w="108" w:type="dxa"/>
            <w:bottom w:w="0" w:type="dxa"/>
            <w:right w:w="108" w:type="dxa"/>
          </w:tblCellMar>
        </w:tblPrEx>
        <w:trPr>
          <w:trHeight w:val="2690" w:hRule="atLeast"/>
        </w:trPr>
        <w:tc>
          <w:tcPr>
            <w:tcW w:w="2293" w:type="dxa"/>
            <w:tcBorders>
              <w:top w:val="nil"/>
              <w:left w:val="single" w:color="BFBFBF" w:sz="4" w:space="0"/>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公司简介</w:t>
            </w:r>
          </w:p>
        </w:tc>
        <w:tc>
          <w:tcPr>
            <w:tcW w:w="6391" w:type="dxa"/>
            <w:tcBorders>
              <w:top w:val="nil"/>
              <w:left w:val="nil"/>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　</w:t>
            </w:r>
          </w:p>
        </w:tc>
      </w:tr>
      <w:tr>
        <w:tblPrEx>
          <w:tblCellMar>
            <w:top w:w="0" w:type="dxa"/>
            <w:left w:w="108" w:type="dxa"/>
            <w:bottom w:w="0" w:type="dxa"/>
            <w:right w:w="108" w:type="dxa"/>
          </w:tblCellMar>
        </w:tblPrEx>
        <w:trPr>
          <w:trHeight w:val="1322" w:hRule="atLeast"/>
        </w:trPr>
        <w:tc>
          <w:tcPr>
            <w:tcW w:w="2293" w:type="dxa"/>
            <w:tcBorders>
              <w:top w:val="nil"/>
              <w:left w:val="single" w:color="BFBFBF" w:sz="4" w:space="0"/>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日期</w:t>
            </w:r>
          </w:p>
        </w:tc>
        <w:tc>
          <w:tcPr>
            <w:tcW w:w="6391" w:type="dxa"/>
            <w:tcBorders>
              <w:top w:val="nil"/>
              <w:left w:val="nil"/>
              <w:bottom w:val="single" w:color="BFBFBF" w:sz="4" w:space="0"/>
              <w:right w:val="single" w:color="BFBFBF" w:sz="4" w:space="0"/>
            </w:tcBorders>
            <w:shd w:val="clear" w:color="auto" w:fill="auto"/>
            <w:noWrap/>
            <w:vAlign w:val="bottom"/>
          </w:tcPr>
          <w:p>
            <w:pPr>
              <w:widowControl/>
              <w:jc w:val="left"/>
              <w:rPr>
                <w:rFonts w:ascii="仿宋_GB2312" w:hAnsi="微软雅黑" w:eastAsia="仿宋_GB2312" w:cs="宋体"/>
                <w:color w:val="000000"/>
                <w:kern w:val="0"/>
                <w:sz w:val="28"/>
                <w:szCs w:val="28"/>
              </w:rPr>
            </w:pPr>
            <w:r>
              <w:rPr>
                <w:rFonts w:hint="eastAsia" w:ascii="仿宋_GB2312" w:hAnsi="微软雅黑" w:eastAsia="仿宋_GB2312" w:cs="宋体"/>
                <w:color w:val="000000"/>
                <w:kern w:val="0"/>
                <w:sz w:val="28"/>
                <w:szCs w:val="28"/>
              </w:rPr>
              <w:t>　</w:t>
            </w:r>
          </w:p>
        </w:tc>
      </w:tr>
    </w:tbl>
    <w:p>
      <w:pPr>
        <w:ind w:right="1280"/>
        <w:rPr>
          <w:rFonts w:ascii="仿宋_GB2312" w:hAnsi="微软雅黑" w:eastAsia="仿宋_GB2312"/>
          <w:sz w:val="40"/>
          <w:szCs w:val="40"/>
        </w:rPr>
      </w:pPr>
      <w:r>
        <w:rPr>
          <w:rFonts w:hint="eastAsia" w:ascii="仿宋_GB2312" w:hAnsi="微软雅黑" w:eastAsia="仿宋_GB2312"/>
          <w:sz w:val="40"/>
          <w:szCs w:val="40"/>
        </w:rPr>
        <w:br w:type="page"/>
      </w:r>
    </w:p>
    <w:p>
      <w:pPr>
        <w:ind w:right="1280"/>
        <w:rPr>
          <w:rFonts w:ascii="仿宋_GB2312" w:hAnsi="仿宋" w:eastAsia="仿宋_GB2312"/>
          <w:sz w:val="32"/>
          <w:szCs w:val="32"/>
        </w:rPr>
      </w:pPr>
      <w:r>
        <w:rPr>
          <w:rFonts w:hint="eastAsia" w:ascii="仿宋_GB2312" w:hAnsi="仿宋" w:eastAsia="仿宋_GB2312"/>
          <w:sz w:val="32"/>
          <w:szCs w:val="32"/>
        </w:rPr>
        <w:t>附件二：法人委托授权书</w:t>
      </w:r>
    </w:p>
    <w:p>
      <w:pPr>
        <w:jc w:val="center"/>
        <w:rPr>
          <w:rFonts w:ascii="仿宋_GB2312" w:hAnsi="微软雅黑" w:eastAsia="仿宋_GB2312" w:cs="方正小标宋简体"/>
          <w:b/>
          <w:bCs/>
          <w:sz w:val="36"/>
          <w:szCs w:val="36"/>
        </w:rPr>
      </w:pPr>
      <w:r>
        <w:rPr>
          <w:rFonts w:hint="eastAsia" w:ascii="仿宋_GB2312" w:hAnsi="微软雅黑" w:eastAsia="仿宋_GB2312" w:cs="方正小标宋简体"/>
          <w:b/>
          <w:bCs/>
          <w:sz w:val="36"/>
          <w:szCs w:val="36"/>
        </w:rPr>
        <w:t>授权委托书</w:t>
      </w:r>
    </w:p>
    <w:p>
      <w:pPr>
        <w:autoSpaceDE w:val="0"/>
        <w:autoSpaceDN w:val="0"/>
        <w:ind w:firstLine="640" w:firstLineChars="200"/>
        <w:rPr>
          <w:rFonts w:ascii="仿宋_GB2312" w:hAnsi="微软雅黑" w:eastAsia="仿宋_GB2312" w:cs="仿宋_GB2312"/>
          <w:sz w:val="32"/>
          <w:szCs w:val="32"/>
        </w:rPr>
      </w:pPr>
      <w:r>
        <w:rPr>
          <w:rFonts w:hint="eastAsia" w:ascii="仿宋_GB2312" w:hAnsi="微软雅黑" w:eastAsia="仿宋_GB2312" w:cs="仿宋_GB2312"/>
          <w:sz w:val="32"/>
          <w:szCs w:val="32"/>
        </w:rPr>
        <w:t>本人</w:t>
      </w:r>
      <w:r>
        <w:rPr>
          <w:rFonts w:hint="eastAsia" w:ascii="仿宋_GB2312" w:hAnsi="微软雅黑" w:eastAsia="仿宋_GB2312" w:cs="仿宋_GB2312"/>
          <w:sz w:val="32"/>
          <w:szCs w:val="32"/>
          <w:u w:val="single"/>
        </w:rPr>
        <w:t xml:space="preserve">            </w:t>
      </w:r>
      <w:r>
        <w:rPr>
          <w:rFonts w:hint="eastAsia" w:ascii="仿宋_GB2312" w:hAnsi="微软雅黑" w:eastAsia="仿宋_GB2312" w:cs="仿宋_GB2312"/>
          <w:sz w:val="32"/>
          <w:szCs w:val="32"/>
        </w:rPr>
        <w:t>（姓名） 系</w:t>
      </w:r>
      <w:r>
        <w:rPr>
          <w:rFonts w:hint="eastAsia" w:ascii="仿宋_GB2312" w:hAnsi="微软雅黑" w:eastAsia="仿宋_GB2312" w:cs="仿宋_GB2312"/>
          <w:sz w:val="32"/>
          <w:szCs w:val="32"/>
          <w:u w:val="single"/>
        </w:rPr>
        <w:t xml:space="preserve">                   </w:t>
      </w:r>
      <w:r>
        <w:rPr>
          <w:rFonts w:hint="eastAsia" w:ascii="仿宋_GB2312" w:hAnsi="微软雅黑" w:eastAsia="仿宋_GB2312" w:cs="仿宋_GB2312"/>
          <w:sz w:val="32"/>
          <w:szCs w:val="32"/>
        </w:rPr>
        <w:t>（供应商名称） 的法定代表人， 现委托</w:t>
      </w:r>
      <w:r>
        <w:rPr>
          <w:rFonts w:hint="eastAsia" w:ascii="仿宋_GB2312" w:hAnsi="微软雅黑" w:eastAsia="仿宋_GB2312" w:cs="仿宋_GB2312"/>
          <w:sz w:val="32"/>
          <w:szCs w:val="32"/>
          <w:u w:val="single"/>
        </w:rPr>
        <w:t xml:space="preserve">           </w:t>
      </w:r>
      <w:r>
        <w:rPr>
          <w:rFonts w:hint="eastAsia" w:ascii="仿宋_GB2312" w:hAnsi="微软雅黑" w:eastAsia="仿宋_GB2312" w:cs="仿宋_GB2312"/>
          <w:sz w:val="32"/>
          <w:szCs w:val="32"/>
        </w:rPr>
        <w:t>（姓名）为我方代理人。代理人根据授权，以我方名义签署、澄清、说明、补正、递交、撤回、修改</w:t>
      </w:r>
      <w:r>
        <w:rPr>
          <w:rFonts w:hint="eastAsia" w:ascii="仿宋_GB2312" w:hAnsi="微软雅黑" w:eastAsia="仿宋_GB2312"/>
          <w:sz w:val="32"/>
          <w:szCs w:val="32"/>
          <w:u w:val="single"/>
        </w:rPr>
        <w:t>惠州读者文化园部分房产运营项目</w:t>
      </w:r>
      <w:r>
        <w:rPr>
          <w:rFonts w:hint="eastAsia" w:ascii="仿宋_GB2312" w:hAnsi="微软雅黑" w:eastAsia="仿宋_GB2312" w:cs="仿宋_GB2312"/>
          <w:sz w:val="32"/>
          <w:szCs w:val="32"/>
        </w:rPr>
        <w:t>询价响应文件、签订合同和处理有关事宜，其法律后果由我方承担。</w:t>
      </w:r>
    </w:p>
    <w:p>
      <w:pPr>
        <w:autoSpaceDE w:val="0"/>
        <w:autoSpaceDN w:val="0"/>
        <w:rPr>
          <w:rFonts w:ascii="仿宋_GB2312" w:hAnsi="微软雅黑" w:eastAsia="仿宋_GB2312" w:cs="仿宋_GB2312"/>
          <w:sz w:val="32"/>
          <w:szCs w:val="32"/>
        </w:rPr>
      </w:pPr>
      <w:r>
        <w:rPr>
          <w:rFonts w:hint="eastAsia" w:ascii="仿宋_GB2312" w:hAnsi="微软雅黑" w:eastAsia="仿宋_GB2312" w:cs="仿宋_GB2312"/>
          <w:sz w:val="32"/>
          <w:szCs w:val="32"/>
        </w:rPr>
        <w:t>特此声明。</w:t>
      </w:r>
    </w:p>
    <w:p>
      <w:pPr>
        <w:autoSpaceDE w:val="0"/>
        <w:autoSpaceDN w:val="0"/>
        <w:rPr>
          <w:rFonts w:ascii="仿宋_GB2312" w:hAnsi="微软雅黑" w:eastAsia="仿宋_GB2312" w:cs="仿宋_GB2312"/>
          <w:sz w:val="32"/>
          <w:szCs w:val="32"/>
        </w:rPr>
      </w:pPr>
      <w:r>
        <w:rPr>
          <w:rFonts w:hint="eastAsia" w:ascii="仿宋_GB2312" w:hAnsi="微软雅黑" w:eastAsia="仿宋_GB2312" w:cs="仿宋_GB2312"/>
          <w:sz w:val="32"/>
          <w:szCs w:val="32"/>
        </w:rPr>
        <w:t>代理人身份证：</w:t>
      </w:r>
    </w:p>
    <w:p>
      <w:pPr>
        <w:autoSpaceDE w:val="0"/>
        <w:autoSpaceDN w:val="0"/>
        <w:rPr>
          <w:rFonts w:ascii="仿宋_GB2312" w:hAnsi="微软雅黑" w:eastAsia="仿宋_GB2312" w:cs="仿宋_GB2312"/>
          <w:sz w:val="32"/>
          <w:szCs w:val="32"/>
        </w:rPr>
      </w:pPr>
      <w:r>
        <w:rPr>
          <w:rFonts w:hint="eastAsia" w:ascii="仿宋_GB2312" w:eastAsia="仿宋_GB2312"/>
        </w:rPr>
        <mc:AlternateContent>
          <mc:Choice Requires="wps">
            <w:drawing>
              <wp:anchor distT="0" distB="0" distL="114300" distR="114300" simplePos="0" relativeHeight="251660288" behindDoc="0" locked="0" layoutInCell="1" allowOverlap="1">
                <wp:simplePos x="0" y="0"/>
                <wp:positionH relativeFrom="column">
                  <wp:posOffset>2873375</wp:posOffset>
                </wp:positionH>
                <wp:positionV relativeFrom="paragraph">
                  <wp:posOffset>124460</wp:posOffset>
                </wp:positionV>
                <wp:extent cx="2422525" cy="1737995"/>
                <wp:effectExtent l="0" t="0" r="0" b="0"/>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422525" cy="1737995"/>
                        </a:xfrm>
                        <a:prstGeom prst="rect">
                          <a:avLst/>
                        </a:prstGeom>
                        <a:solidFill>
                          <a:srgbClr val="FFFFFF"/>
                        </a:solidFill>
                        <a:ln w="15875">
                          <a:solidFill>
                            <a:srgbClr val="739CC3"/>
                          </a:solidFill>
                          <a:miter lim="800000"/>
                        </a:ln>
                        <a:effectLst/>
                      </wps:spPr>
                      <wps:txbx>
                        <w:txbxContent>
                          <w:p>
                            <w:pPr>
                              <w:jc w:val="center"/>
                              <w:rPr>
                                <w:sz w:val="32"/>
                              </w:rPr>
                            </w:pPr>
                          </w:p>
                          <w:p>
                            <w:pPr>
                              <w:rPr>
                                <w:sz w:val="32"/>
                              </w:rPr>
                            </w:pPr>
                          </w:p>
                          <w:p>
                            <w:pPr>
                              <w:jc w:val="center"/>
                              <w:rPr>
                                <w:sz w:val="28"/>
                              </w:rPr>
                            </w:pPr>
                            <w:r>
                              <w:rPr>
                                <w:rFonts w:hint="eastAsia"/>
                                <w:sz w:val="28"/>
                              </w:rPr>
                              <w:t>身份证复印件（反面）</w:t>
                            </w:r>
                          </w:p>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226.25pt;margin-top:9.8pt;height:136.85pt;width:190.75pt;z-index:251660288;mso-width-relative:page;mso-height-relative:page;" fillcolor="#FFFFFF" filled="t" stroked="t" coordsize="21600,21600" o:gfxdata="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2z1hO2gAAAAoBAAAPAAAAAAAAAAEA&#10;IAAAACIAAABkcnMvZG93bnJldi54bWxQSwECFAAUAAAACACHTuJAnCE2zEYCAACKBAAADgAAAAAA&#10;AAABACAAAAApAQAAZHJzL2Uyb0RvYy54bWxQSwUGAAAAAAYABgBZAQAA4QUAAAAA&#10;">
                <v:fill on="t" focussize="0,0"/>
                <v:stroke weight="1.25pt" color="#739CC3" miterlimit="8" joinstyle="miter"/>
                <v:imagedata o:title=""/>
                <o:lock v:ext="edit" aspectratio="f"/>
                <v:textbox>
                  <w:txbxContent>
                    <w:p>
                      <w:pPr>
                        <w:jc w:val="center"/>
                        <w:rPr>
                          <w:sz w:val="32"/>
                        </w:rPr>
                      </w:pPr>
                    </w:p>
                    <w:p>
                      <w:pPr>
                        <w:rPr>
                          <w:sz w:val="32"/>
                        </w:rPr>
                      </w:pPr>
                    </w:p>
                    <w:p>
                      <w:pPr>
                        <w:jc w:val="center"/>
                        <w:rPr>
                          <w:sz w:val="28"/>
                        </w:rPr>
                      </w:pPr>
                      <w:r>
                        <w:rPr>
                          <w:rFonts w:hint="eastAsia"/>
                          <w:sz w:val="28"/>
                        </w:rPr>
                        <w:t>身份证复印件（反面）</w:t>
                      </w:r>
                    </w:p>
                    <w:p/>
                  </w:txbxContent>
                </v:textbox>
              </v:rect>
            </w:pict>
          </mc:Fallback>
        </mc:AlternateContent>
      </w:r>
      <w:r>
        <w:rPr>
          <w:rFonts w:hint="eastAsia" w:ascii="仿宋_GB2312" w:eastAsia="仿宋_GB2312"/>
        </w:rPr>
        <mc:AlternateContent>
          <mc:Choice Requires="wps">
            <w:drawing>
              <wp:anchor distT="0" distB="0" distL="114300" distR="114300" simplePos="0" relativeHeight="251659264" behindDoc="0" locked="0" layoutInCell="1" allowOverlap="1">
                <wp:simplePos x="0" y="0"/>
                <wp:positionH relativeFrom="column">
                  <wp:posOffset>-191135</wp:posOffset>
                </wp:positionH>
                <wp:positionV relativeFrom="paragraph">
                  <wp:posOffset>124460</wp:posOffset>
                </wp:positionV>
                <wp:extent cx="2422525" cy="1737995"/>
                <wp:effectExtent l="0" t="0" r="0" b="0"/>
                <wp:wrapNone/>
                <wp:docPr id="4" name="矩形 2"/>
                <wp:cNvGraphicFramePr/>
                <a:graphic xmlns:a="http://schemas.openxmlformats.org/drawingml/2006/main">
                  <a:graphicData uri="http://schemas.microsoft.com/office/word/2010/wordprocessingShape">
                    <wps:wsp>
                      <wps:cNvSpPr>
                        <a:spLocks noChangeArrowheads="1"/>
                      </wps:cNvSpPr>
                      <wps:spPr bwMode="auto">
                        <a:xfrm>
                          <a:off x="0" y="0"/>
                          <a:ext cx="2422525" cy="1737995"/>
                        </a:xfrm>
                        <a:prstGeom prst="rect">
                          <a:avLst/>
                        </a:prstGeom>
                        <a:solidFill>
                          <a:srgbClr val="FFFFFF"/>
                        </a:solidFill>
                        <a:ln w="15875">
                          <a:solidFill>
                            <a:srgbClr val="739CC3"/>
                          </a:solidFill>
                          <a:miter lim="800000"/>
                        </a:ln>
                        <a:effectLst/>
                      </wps:spPr>
                      <wps:txbx>
                        <w:txbxContent>
                          <w:p>
                            <w:pPr>
                              <w:jc w:val="center"/>
                              <w:rPr>
                                <w:sz w:val="32"/>
                              </w:rPr>
                            </w:pPr>
                          </w:p>
                          <w:p>
                            <w:pPr>
                              <w:rPr>
                                <w:sz w:val="32"/>
                              </w:rPr>
                            </w:pPr>
                          </w:p>
                          <w:p>
                            <w:pPr>
                              <w:jc w:val="center"/>
                              <w:rPr>
                                <w:sz w:val="28"/>
                              </w:rPr>
                            </w:pPr>
                            <w:r>
                              <w:rPr>
                                <w:rFonts w:hint="eastAsia"/>
                                <w:sz w:val="28"/>
                              </w:rPr>
                              <w:t>身份证复印件（正面）</w:t>
                            </w:r>
                          </w:p>
                          <w:p>
                            <w:pPr>
                              <w:jc w:val="center"/>
                              <w:rPr>
                                <w:sz w:val="28"/>
                              </w:rPr>
                            </w:pPr>
                          </w:p>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15.05pt;margin-top:9.8pt;height:136.85pt;width:190.75pt;z-index:251659264;mso-width-relative:page;mso-height-relative:page;" fillcolor="#FFFFFF" filled="t" stroked="t" coordsize="21600,21600" o:gfxdata="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Vk/R9oAAAAKAQAADwAAAAAAAAABACAA&#10;AAAiAAAAZHJzL2Rvd25yZXYueG1sUEsBAhQAFAAAAAgAh07iQC3AUoFEAgAAigQAAA4AAAAAAAAA&#10;AQAgAAAAKQEAAGRycy9lMm9Eb2MueG1sUEsFBgAAAAAGAAYAWQEAAN8FAAAAAA==&#10;">
                <v:fill on="t" focussize="0,0"/>
                <v:stroke weight="1.25pt" color="#739CC3" miterlimit="8" joinstyle="miter"/>
                <v:imagedata o:title=""/>
                <o:lock v:ext="edit" aspectratio="f"/>
                <v:textbox>
                  <w:txbxContent>
                    <w:p>
                      <w:pPr>
                        <w:jc w:val="center"/>
                        <w:rPr>
                          <w:sz w:val="32"/>
                        </w:rPr>
                      </w:pPr>
                    </w:p>
                    <w:p>
                      <w:pPr>
                        <w:rPr>
                          <w:sz w:val="32"/>
                        </w:rPr>
                      </w:pPr>
                    </w:p>
                    <w:p>
                      <w:pPr>
                        <w:jc w:val="center"/>
                        <w:rPr>
                          <w:sz w:val="28"/>
                        </w:rPr>
                      </w:pPr>
                      <w:r>
                        <w:rPr>
                          <w:rFonts w:hint="eastAsia"/>
                          <w:sz w:val="28"/>
                        </w:rPr>
                        <w:t>身份证复印件（正面）</w:t>
                      </w:r>
                    </w:p>
                    <w:p>
                      <w:pPr>
                        <w:jc w:val="center"/>
                        <w:rPr>
                          <w:sz w:val="28"/>
                        </w:rPr>
                      </w:pPr>
                    </w:p>
                    <w:p/>
                  </w:txbxContent>
                </v:textbox>
              </v:rect>
            </w:pict>
          </mc:Fallback>
        </mc:AlternateContent>
      </w:r>
    </w:p>
    <w:p>
      <w:pPr>
        <w:autoSpaceDE w:val="0"/>
        <w:autoSpaceDN w:val="0"/>
        <w:rPr>
          <w:rFonts w:ascii="仿宋_GB2312" w:hAnsi="微软雅黑" w:eastAsia="仿宋_GB2312" w:cs="仿宋_GB2312"/>
          <w:sz w:val="32"/>
          <w:szCs w:val="32"/>
        </w:rPr>
      </w:pPr>
    </w:p>
    <w:p>
      <w:pPr>
        <w:autoSpaceDE w:val="0"/>
        <w:autoSpaceDN w:val="0"/>
        <w:rPr>
          <w:rFonts w:ascii="仿宋_GB2312" w:hAnsi="微软雅黑" w:eastAsia="仿宋_GB2312" w:cs="仿宋_GB2312"/>
          <w:sz w:val="32"/>
          <w:szCs w:val="32"/>
        </w:rPr>
      </w:pPr>
    </w:p>
    <w:p>
      <w:pPr>
        <w:autoSpaceDE w:val="0"/>
        <w:autoSpaceDN w:val="0"/>
        <w:rPr>
          <w:rFonts w:ascii="仿宋_GB2312" w:hAnsi="微软雅黑" w:eastAsia="仿宋_GB2312" w:cs="仿宋_GB2312"/>
          <w:sz w:val="32"/>
          <w:szCs w:val="32"/>
        </w:rPr>
      </w:pPr>
    </w:p>
    <w:p>
      <w:pPr>
        <w:autoSpaceDE w:val="0"/>
        <w:autoSpaceDN w:val="0"/>
        <w:rPr>
          <w:rFonts w:ascii="仿宋_GB2312" w:hAnsi="微软雅黑" w:eastAsia="仿宋_GB2312" w:cs="仿宋_GB2312"/>
          <w:sz w:val="32"/>
          <w:szCs w:val="32"/>
        </w:rPr>
      </w:pPr>
    </w:p>
    <w:p>
      <w:pPr>
        <w:autoSpaceDE w:val="0"/>
        <w:autoSpaceDN w:val="0"/>
        <w:rPr>
          <w:rFonts w:ascii="仿宋_GB2312" w:hAnsi="微软雅黑" w:eastAsia="仿宋_GB2312" w:cs="仿宋_GB2312"/>
          <w:sz w:val="32"/>
          <w:szCs w:val="32"/>
        </w:rPr>
      </w:pPr>
      <w:r>
        <w:rPr>
          <w:rFonts w:hint="eastAsia" w:ascii="仿宋_GB2312" w:hAnsi="微软雅黑" w:eastAsia="仿宋_GB2312" w:cs="仿宋_GB2312"/>
          <w:sz w:val="32"/>
          <w:szCs w:val="32"/>
        </w:rPr>
        <w:t xml:space="preserve">供应商： </w:t>
      </w:r>
      <w:r>
        <w:rPr>
          <w:rFonts w:hint="eastAsia" w:ascii="仿宋_GB2312" w:hAnsi="微软雅黑" w:eastAsia="仿宋_GB2312" w:cs="仿宋_GB2312"/>
          <w:sz w:val="32"/>
          <w:szCs w:val="32"/>
          <w:u w:val="single"/>
        </w:rPr>
        <w:t xml:space="preserve">                     </w:t>
      </w:r>
      <w:r>
        <w:rPr>
          <w:rFonts w:hint="eastAsia" w:ascii="仿宋_GB2312" w:hAnsi="微软雅黑" w:eastAsia="仿宋_GB2312" w:cs="仿宋_GB2312"/>
          <w:sz w:val="32"/>
          <w:szCs w:val="32"/>
        </w:rPr>
        <w:t>（盖单位章）</w:t>
      </w:r>
    </w:p>
    <w:p>
      <w:pPr>
        <w:autoSpaceDE w:val="0"/>
        <w:autoSpaceDN w:val="0"/>
        <w:rPr>
          <w:rFonts w:ascii="仿宋_GB2312" w:hAnsi="微软雅黑" w:eastAsia="仿宋_GB2312" w:cs="仿宋_GB2312"/>
          <w:sz w:val="32"/>
          <w:szCs w:val="32"/>
        </w:rPr>
      </w:pPr>
      <w:r>
        <w:rPr>
          <w:rFonts w:hint="eastAsia" w:ascii="仿宋_GB2312" w:hAnsi="微软雅黑" w:eastAsia="仿宋_GB2312" w:cs="仿宋_GB2312"/>
          <w:sz w:val="32"/>
          <w:szCs w:val="32"/>
        </w:rPr>
        <w:t xml:space="preserve">法定代表人： </w:t>
      </w:r>
      <w:r>
        <w:rPr>
          <w:rFonts w:hint="eastAsia" w:ascii="仿宋_GB2312" w:hAnsi="微软雅黑" w:eastAsia="仿宋_GB2312" w:cs="仿宋_GB2312"/>
          <w:sz w:val="32"/>
          <w:szCs w:val="32"/>
          <w:u w:val="single"/>
        </w:rPr>
        <w:t xml:space="preserve">                     </w:t>
      </w:r>
      <w:r>
        <w:rPr>
          <w:rFonts w:hint="eastAsia" w:ascii="仿宋_GB2312" w:hAnsi="微软雅黑" w:eastAsia="仿宋_GB2312" w:cs="仿宋_GB2312"/>
          <w:sz w:val="32"/>
          <w:szCs w:val="32"/>
        </w:rPr>
        <w:t>（签字）</w:t>
      </w:r>
    </w:p>
    <w:p>
      <w:pPr>
        <w:autoSpaceDE w:val="0"/>
        <w:autoSpaceDN w:val="0"/>
        <w:rPr>
          <w:rFonts w:ascii="仿宋_GB2312" w:hAnsi="微软雅黑" w:eastAsia="仿宋_GB2312" w:cs="仿宋_GB2312"/>
          <w:sz w:val="32"/>
          <w:szCs w:val="32"/>
        </w:rPr>
      </w:pPr>
      <w:r>
        <w:rPr>
          <w:rFonts w:hint="eastAsia" w:ascii="仿宋_GB2312" w:hAnsi="微软雅黑" w:eastAsia="仿宋_GB2312" w:cs="仿宋_GB2312"/>
          <w:sz w:val="32"/>
          <w:szCs w:val="32"/>
        </w:rPr>
        <w:t>代理人：</w:t>
      </w:r>
      <w:r>
        <w:rPr>
          <w:rFonts w:hint="eastAsia" w:ascii="仿宋_GB2312" w:hAnsi="微软雅黑" w:eastAsia="仿宋_GB2312" w:cs="仿宋_GB2312"/>
          <w:sz w:val="32"/>
          <w:szCs w:val="32"/>
          <w:u w:val="single"/>
        </w:rPr>
        <w:t xml:space="preserve">                      </w:t>
      </w:r>
      <w:r>
        <w:rPr>
          <w:rFonts w:hint="eastAsia" w:ascii="仿宋_GB2312" w:hAnsi="微软雅黑" w:eastAsia="仿宋_GB2312" w:cs="仿宋_GB2312"/>
          <w:sz w:val="32"/>
          <w:szCs w:val="32"/>
        </w:rPr>
        <w:t>（签字）</w:t>
      </w:r>
    </w:p>
    <w:p>
      <w:pPr>
        <w:autoSpaceDE w:val="0"/>
        <w:autoSpaceDN w:val="0"/>
        <w:rPr>
          <w:rFonts w:ascii="仿宋_GB2312" w:hAnsi="微软雅黑" w:eastAsia="仿宋_GB2312" w:cs="仿宋_GB2312"/>
          <w:sz w:val="32"/>
          <w:szCs w:val="32"/>
        </w:rPr>
      </w:pPr>
      <w:r>
        <w:rPr>
          <w:rFonts w:hint="eastAsia" w:ascii="仿宋_GB2312" w:hAnsi="微软雅黑" w:eastAsia="仿宋_GB2312" w:cs="仿宋_GB2312"/>
          <w:sz w:val="32"/>
          <w:szCs w:val="32"/>
        </w:rPr>
        <w:t>日期：</w:t>
      </w:r>
      <w:r>
        <w:rPr>
          <w:rFonts w:hint="eastAsia" w:ascii="仿宋_GB2312" w:hAnsi="微软雅黑" w:eastAsia="仿宋_GB2312" w:cs="仿宋_GB2312"/>
          <w:sz w:val="32"/>
          <w:szCs w:val="32"/>
          <w:u w:val="single"/>
        </w:rPr>
        <w:t xml:space="preserve">      </w:t>
      </w:r>
      <w:r>
        <w:rPr>
          <w:rFonts w:hint="eastAsia" w:ascii="仿宋_GB2312" w:hAnsi="微软雅黑" w:eastAsia="仿宋_GB2312" w:cs="仿宋_GB2312"/>
          <w:sz w:val="32"/>
          <w:szCs w:val="32"/>
        </w:rPr>
        <w:t>年</w:t>
      </w:r>
      <w:r>
        <w:rPr>
          <w:rFonts w:hint="eastAsia" w:ascii="仿宋_GB2312" w:hAnsi="微软雅黑" w:eastAsia="仿宋_GB2312" w:cs="仿宋_GB2312"/>
          <w:sz w:val="32"/>
          <w:szCs w:val="32"/>
          <w:u w:val="single"/>
        </w:rPr>
        <w:t xml:space="preserve">      </w:t>
      </w:r>
      <w:r>
        <w:rPr>
          <w:rFonts w:hint="eastAsia" w:ascii="仿宋_GB2312" w:hAnsi="微软雅黑" w:eastAsia="仿宋_GB2312" w:cs="仿宋_GB2312"/>
          <w:sz w:val="32"/>
          <w:szCs w:val="32"/>
        </w:rPr>
        <w:t xml:space="preserve"> 月</w:t>
      </w:r>
      <w:r>
        <w:rPr>
          <w:rFonts w:hint="eastAsia" w:ascii="仿宋_GB2312" w:hAnsi="微软雅黑" w:eastAsia="仿宋_GB2312" w:cs="仿宋_GB2312"/>
          <w:sz w:val="32"/>
          <w:szCs w:val="32"/>
          <w:u w:val="single"/>
        </w:rPr>
        <w:t xml:space="preserve">      </w:t>
      </w:r>
      <w:r>
        <w:rPr>
          <w:rFonts w:hint="eastAsia" w:ascii="仿宋_GB2312" w:hAnsi="微软雅黑" w:eastAsia="仿宋_GB2312" w:cs="仿宋_GB2312"/>
          <w:sz w:val="32"/>
          <w:szCs w:val="32"/>
        </w:rPr>
        <w:t xml:space="preserve"> 日</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ind w:right="1280"/>
        <w:rPr>
          <w:rFonts w:ascii="仿宋_GB2312" w:hAnsi="仿宋" w:eastAsia="仿宋_GB2312"/>
          <w:sz w:val="32"/>
          <w:szCs w:val="32"/>
        </w:rPr>
      </w:pPr>
      <w:r>
        <w:rPr>
          <w:rFonts w:hint="eastAsia" w:ascii="仿宋_GB2312" w:hAnsi="仿宋" w:eastAsia="仿宋_GB2312"/>
          <w:sz w:val="32"/>
          <w:szCs w:val="32"/>
        </w:rPr>
        <w:t>附件三：报价单</w:t>
      </w:r>
    </w:p>
    <w:p>
      <w:pPr>
        <w:jc w:val="center"/>
        <w:rPr>
          <w:rFonts w:ascii="仿宋_GB2312" w:hAnsi="微软雅黑" w:eastAsia="仿宋_GB2312" w:cs="方正小标宋简体"/>
          <w:b/>
          <w:bCs/>
          <w:sz w:val="36"/>
          <w:szCs w:val="36"/>
        </w:rPr>
      </w:pPr>
      <w:r>
        <w:rPr>
          <w:rFonts w:hint="eastAsia" w:ascii="仿宋_GB2312" w:hAnsi="微软雅黑" w:eastAsia="仿宋_GB2312" w:cs="方正小标宋简体"/>
          <w:b/>
          <w:bCs/>
          <w:sz w:val="36"/>
          <w:szCs w:val="36"/>
        </w:rPr>
        <w:t>报价单</w:t>
      </w:r>
    </w:p>
    <w:p>
      <w:pPr>
        <w:jc w:val="center"/>
        <w:rPr>
          <w:rFonts w:ascii="仿宋_GB2312" w:hAnsi="微软雅黑" w:eastAsia="仿宋_GB2312" w:cs="仿宋_GB2312"/>
          <w:sz w:val="32"/>
          <w:szCs w:val="32"/>
        </w:rPr>
      </w:pPr>
      <w:r>
        <w:rPr>
          <w:rFonts w:hint="eastAsia" w:ascii="仿宋_GB2312" w:hAnsi="微软雅黑" w:eastAsia="仿宋_GB2312" w:cs="仿宋_GB2312"/>
          <w:sz w:val="32"/>
          <w:szCs w:val="32"/>
        </w:rPr>
        <w:t>第（ ）次报价</w:t>
      </w:r>
    </w:p>
    <w:p>
      <w:pPr>
        <w:rPr>
          <w:rFonts w:ascii="仿宋_GB2312" w:hAnsi="微软雅黑" w:eastAsia="仿宋_GB2312" w:cs="仿宋_GB2312"/>
          <w:sz w:val="32"/>
          <w:szCs w:val="32"/>
        </w:rPr>
      </w:pPr>
    </w:p>
    <w:p>
      <w:pPr>
        <w:rPr>
          <w:rFonts w:ascii="仿宋_GB2312" w:hAnsi="微软雅黑" w:eastAsia="仿宋_GB2312" w:cs="仿宋_GB2312"/>
          <w:sz w:val="32"/>
          <w:szCs w:val="32"/>
        </w:rPr>
      </w:pPr>
      <w:r>
        <w:rPr>
          <w:rFonts w:hint="eastAsia" w:ascii="仿宋_GB2312" w:hAnsi="微软雅黑" w:eastAsia="仿宋_GB2312" w:cs="仿宋_GB2312"/>
          <w:sz w:val="32"/>
          <w:szCs w:val="32"/>
        </w:rPr>
        <w:t>委托方：读者出版传媒股份有限公司</w:t>
      </w:r>
    </w:p>
    <w:p>
      <w:pPr>
        <w:rPr>
          <w:rFonts w:ascii="仿宋_GB2312" w:hAnsi="微软雅黑" w:eastAsia="仿宋_GB2312" w:cs="仿宋_GB2312"/>
          <w:sz w:val="32"/>
          <w:szCs w:val="32"/>
        </w:rPr>
      </w:pPr>
      <w:r>
        <w:rPr>
          <w:rFonts w:hint="eastAsia" w:ascii="仿宋_GB2312" w:hAnsi="微软雅黑" w:eastAsia="仿宋_GB2312" w:cs="仿宋_GB2312"/>
          <w:sz w:val="32"/>
          <w:szCs w:val="32"/>
        </w:rPr>
        <w:t>项目名称： 惠州读者文化园部分房产运营项目</w:t>
      </w:r>
    </w:p>
    <w:p>
      <w:pPr>
        <w:jc w:val="center"/>
        <w:rPr>
          <w:rFonts w:ascii="仿宋_GB2312" w:hAnsi="微软雅黑" w:eastAsia="仿宋_GB2312" w:cs="仿宋_GB2312"/>
          <w:b/>
          <w:bCs/>
          <w:sz w:val="32"/>
          <w:szCs w:val="32"/>
        </w:rPr>
      </w:pPr>
      <w:r>
        <w:rPr>
          <w:rFonts w:hint="eastAsia" w:ascii="仿宋_GB2312" w:hAnsi="微软雅黑" w:eastAsia="仿宋_GB2312" w:cs="仿宋_GB2312"/>
          <w:b/>
          <w:bCs/>
          <w:sz w:val="32"/>
          <w:szCs w:val="32"/>
        </w:rPr>
        <w:t>报价一览表</w:t>
      </w:r>
    </w:p>
    <w:tbl>
      <w:tblPr>
        <w:tblStyle w:val="11"/>
        <w:tblW w:w="8610"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850"/>
        <w:gridCol w:w="2085"/>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688" w:type="dxa"/>
            <w:gridSpan w:val="2"/>
            <w:vMerge w:val="restart"/>
          </w:tcPr>
          <w:p>
            <w:pPr>
              <w:jc w:val="center"/>
              <w:rPr>
                <w:rFonts w:ascii="仿宋_GB2312" w:hAnsi="微软雅黑" w:eastAsia="仿宋_GB2312" w:cs="仿宋_GB2312"/>
                <w:b/>
                <w:bCs/>
                <w:sz w:val="32"/>
                <w:szCs w:val="32"/>
              </w:rPr>
            </w:pPr>
            <w:r>
              <w:rPr>
                <w:rFonts w:hint="eastAsia" w:ascii="仿宋_GB2312" w:hAnsi="微软雅黑" w:eastAsia="仿宋_GB2312" w:cs="仿宋_GB2312"/>
                <w:b/>
                <w:bCs/>
                <w:sz w:val="32"/>
                <w:szCs w:val="32"/>
              </w:rPr>
              <w:t>项目名称</w:t>
            </w:r>
          </w:p>
        </w:tc>
        <w:tc>
          <w:tcPr>
            <w:tcW w:w="4922" w:type="dxa"/>
            <w:gridSpan w:val="2"/>
          </w:tcPr>
          <w:p>
            <w:pPr>
              <w:jc w:val="center"/>
              <w:rPr>
                <w:rFonts w:ascii="仿宋_GB2312" w:hAnsi="微软雅黑" w:eastAsia="仿宋_GB2312" w:cs="仿宋_GB2312"/>
                <w:b/>
                <w:bCs/>
                <w:sz w:val="32"/>
                <w:szCs w:val="32"/>
              </w:rPr>
            </w:pPr>
            <w:r>
              <w:rPr>
                <w:rFonts w:hint="eastAsia" w:ascii="仿宋_GB2312" w:hAnsi="微软雅黑" w:eastAsia="仿宋_GB2312" w:cs="仿宋_GB2312"/>
                <w:b/>
                <w:bCs/>
                <w:sz w:val="32"/>
                <w:szCs w:val="32"/>
              </w:rPr>
              <w:t>月租金及增长率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688" w:type="dxa"/>
            <w:gridSpan w:val="2"/>
            <w:vMerge w:val="continue"/>
          </w:tcPr>
          <w:p>
            <w:pPr>
              <w:jc w:val="center"/>
              <w:rPr>
                <w:rFonts w:ascii="仿宋_GB2312" w:hAnsi="微软雅黑" w:eastAsia="仿宋_GB2312" w:cs="仿宋_GB2312"/>
                <w:b/>
                <w:bCs/>
                <w:sz w:val="32"/>
                <w:szCs w:val="32"/>
              </w:rPr>
            </w:pPr>
          </w:p>
        </w:tc>
        <w:tc>
          <w:tcPr>
            <w:tcW w:w="2085" w:type="dxa"/>
          </w:tcPr>
          <w:p>
            <w:pPr>
              <w:jc w:val="center"/>
              <w:rPr>
                <w:rFonts w:ascii="仿宋_GB2312" w:hAnsi="微软雅黑" w:eastAsia="仿宋_GB2312" w:cs="仿宋_GB2312"/>
                <w:b/>
                <w:bCs/>
                <w:sz w:val="32"/>
                <w:szCs w:val="32"/>
              </w:rPr>
            </w:pPr>
            <w:r>
              <w:rPr>
                <w:rFonts w:hint="eastAsia" w:ascii="仿宋_GB2312" w:hAnsi="微软雅黑" w:eastAsia="仿宋_GB2312" w:cs="仿宋_GB2312"/>
                <w:b/>
                <w:bCs/>
                <w:sz w:val="32"/>
                <w:szCs w:val="32"/>
              </w:rPr>
              <w:t>小写</w:t>
            </w:r>
          </w:p>
        </w:tc>
        <w:tc>
          <w:tcPr>
            <w:tcW w:w="2837" w:type="dxa"/>
          </w:tcPr>
          <w:p>
            <w:pPr>
              <w:jc w:val="center"/>
              <w:rPr>
                <w:rFonts w:ascii="仿宋_GB2312" w:hAnsi="微软雅黑" w:eastAsia="仿宋_GB2312" w:cs="仿宋_GB2312"/>
                <w:b/>
                <w:bCs/>
                <w:sz w:val="32"/>
                <w:szCs w:val="32"/>
              </w:rPr>
            </w:pPr>
            <w:r>
              <w:rPr>
                <w:rFonts w:hint="eastAsia" w:ascii="仿宋_GB2312" w:hAnsi="微软雅黑" w:eastAsia="仿宋_GB2312" w:cs="仿宋_GB2312"/>
                <w:b/>
                <w:bCs/>
                <w:sz w:val="32"/>
                <w:szCs w:val="32"/>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838" w:type="dxa"/>
            <w:vMerge w:val="restart"/>
            <w:vAlign w:val="center"/>
          </w:tcPr>
          <w:p>
            <w:pPr>
              <w:jc w:val="left"/>
              <w:rPr>
                <w:rFonts w:ascii="仿宋_GB2312" w:hAnsi="微软雅黑" w:eastAsia="仿宋_GB2312" w:cs="仿宋_GB2312"/>
                <w:sz w:val="32"/>
                <w:szCs w:val="32"/>
              </w:rPr>
            </w:pPr>
            <w:r>
              <w:rPr>
                <w:rFonts w:hint="eastAsia" w:ascii="仿宋_GB2312" w:hAnsi="微软雅黑" w:eastAsia="仿宋_GB2312" w:cs="仿宋_GB2312"/>
                <w:sz w:val="32"/>
                <w:szCs w:val="32"/>
              </w:rPr>
              <w:t>惠州读者文化园部分房产运营项目</w:t>
            </w:r>
          </w:p>
        </w:tc>
        <w:tc>
          <w:tcPr>
            <w:tcW w:w="1850" w:type="dxa"/>
            <w:vAlign w:val="center"/>
          </w:tcPr>
          <w:p>
            <w:pPr>
              <w:jc w:val="left"/>
              <w:rPr>
                <w:rFonts w:ascii="仿宋_GB2312" w:hAnsi="微软雅黑" w:eastAsia="仿宋_GB2312" w:cs="仿宋_GB2312"/>
                <w:sz w:val="32"/>
                <w:szCs w:val="32"/>
              </w:rPr>
            </w:pPr>
            <w:r>
              <w:rPr>
                <w:rFonts w:hint="eastAsia" w:ascii="仿宋_GB2312" w:hAnsi="微软雅黑" w:eastAsia="仿宋_GB2312" w:cs="仿宋_GB2312"/>
                <w:sz w:val="32"/>
                <w:szCs w:val="32"/>
              </w:rPr>
              <w:t>月租金</w:t>
            </w:r>
            <w:r>
              <w:rPr>
                <w:rFonts w:hint="eastAsia" w:ascii="仿宋_GB2312" w:hAnsi="微软雅黑" w:eastAsia="仿宋_GB2312" w:cs="仿宋_GB2312"/>
                <w:b/>
                <w:bCs/>
                <w:sz w:val="32"/>
                <w:szCs w:val="32"/>
              </w:rPr>
              <w:t>/</w:t>
            </w:r>
            <w:r>
              <w:rPr>
                <w:rFonts w:hint="eastAsia" w:ascii="Segoe UI Symbol" w:hAnsi="Segoe UI Symbol" w:eastAsia="Segoe UI Symbol" w:cs="Segoe UI Symbol"/>
                <w:b/>
                <w:bCs/>
                <w:sz w:val="32"/>
                <w:szCs w:val="32"/>
              </w:rPr>
              <w:t>㎡</w:t>
            </w:r>
          </w:p>
        </w:tc>
        <w:tc>
          <w:tcPr>
            <w:tcW w:w="2085" w:type="dxa"/>
            <w:vAlign w:val="center"/>
          </w:tcPr>
          <w:p>
            <w:pPr>
              <w:jc w:val="center"/>
              <w:rPr>
                <w:rFonts w:ascii="仿宋_GB2312" w:hAnsi="微软雅黑" w:eastAsia="仿宋_GB2312" w:cs="仿宋_GB2312"/>
                <w:sz w:val="32"/>
                <w:szCs w:val="32"/>
              </w:rPr>
            </w:pPr>
          </w:p>
        </w:tc>
        <w:tc>
          <w:tcPr>
            <w:tcW w:w="2837" w:type="dxa"/>
            <w:vAlign w:val="center"/>
          </w:tcPr>
          <w:p>
            <w:pPr>
              <w:jc w:val="center"/>
              <w:rPr>
                <w:rFonts w:ascii="仿宋_GB2312" w:hAnsi="微软雅黑"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838" w:type="dxa"/>
            <w:vMerge w:val="continue"/>
            <w:vAlign w:val="center"/>
          </w:tcPr>
          <w:p>
            <w:pPr>
              <w:jc w:val="left"/>
              <w:rPr>
                <w:rFonts w:ascii="仿宋_GB2312" w:hAnsi="微软雅黑" w:eastAsia="仿宋_GB2312" w:cs="仿宋_GB2312"/>
                <w:sz w:val="32"/>
                <w:szCs w:val="32"/>
              </w:rPr>
            </w:pPr>
          </w:p>
        </w:tc>
        <w:tc>
          <w:tcPr>
            <w:tcW w:w="1850" w:type="dxa"/>
            <w:vAlign w:val="center"/>
          </w:tcPr>
          <w:p>
            <w:pPr>
              <w:jc w:val="left"/>
              <w:rPr>
                <w:rFonts w:ascii="仿宋_GB2312" w:hAnsi="微软雅黑" w:eastAsia="仿宋_GB2312" w:cs="仿宋_GB2312"/>
                <w:sz w:val="32"/>
                <w:szCs w:val="32"/>
              </w:rPr>
            </w:pPr>
            <w:r>
              <w:rPr>
                <w:rFonts w:hint="eastAsia" w:ascii="仿宋_GB2312" w:hAnsi="微软雅黑" w:eastAsia="仿宋_GB2312" w:cs="仿宋_GB2312"/>
                <w:sz w:val="32"/>
                <w:szCs w:val="32"/>
              </w:rPr>
              <w:t>增长率</w:t>
            </w:r>
          </w:p>
        </w:tc>
        <w:tc>
          <w:tcPr>
            <w:tcW w:w="4922" w:type="dxa"/>
            <w:gridSpan w:val="2"/>
            <w:vAlign w:val="center"/>
          </w:tcPr>
          <w:p>
            <w:pPr>
              <w:jc w:val="center"/>
              <w:rPr>
                <w:rFonts w:ascii="仿宋_GB2312" w:hAnsi="微软雅黑" w:eastAsia="仿宋_GB2312" w:cs="仿宋_GB2312"/>
                <w:sz w:val="32"/>
                <w:szCs w:val="32"/>
              </w:rPr>
            </w:pPr>
            <w:r>
              <w:rPr>
                <w:rFonts w:hint="eastAsia" w:ascii="仿宋_GB2312" w:hAnsi="微软雅黑" w:eastAsia="仿宋_GB2312" w:cs="仿宋_GB2312"/>
                <w:sz w:val="32"/>
                <w:szCs w:val="32"/>
              </w:rPr>
              <w:t>每（）年增长（）%</w:t>
            </w:r>
          </w:p>
        </w:tc>
      </w:tr>
    </w:tbl>
    <w:p>
      <w:pPr>
        <w:rPr>
          <w:rFonts w:ascii="仿宋_GB2312" w:hAnsi="微软雅黑" w:eastAsia="仿宋_GB2312" w:cs="仿宋_GB2312"/>
          <w:sz w:val="32"/>
          <w:szCs w:val="32"/>
        </w:rPr>
      </w:pPr>
    </w:p>
    <w:p>
      <w:pPr>
        <w:rPr>
          <w:rFonts w:ascii="仿宋_GB2312" w:hAnsi="微软雅黑" w:eastAsia="仿宋_GB2312" w:cs="仿宋_GB2312"/>
          <w:sz w:val="32"/>
          <w:szCs w:val="32"/>
        </w:rPr>
      </w:pPr>
      <w:r>
        <w:rPr>
          <w:rFonts w:hint="eastAsia" w:ascii="仿宋_GB2312" w:hAnsi="微软雅黑" w:eastAsia="仿宋_GB2312" w:cs="仿宋_GB2312"/>
          <w:sz w:val="32"/>
          <w:szCs w:val="32"/>
        </w:rPr>
        <w:t>授权联系人 ：              联系电话：</w:t>
      </w:r>
    </w:p>
    <w:p>
      <w:pPr>
        <w:rPr>
          <w:rFonts w:ascii="仿宋_GB2312" w:hAnsi="微软雅黑" w:eastAsia="仿宋_GB2312" w:cs="仿宋_GB2312"/>
          <w:sz w:val="32"/>
          <w:szCs w:val="32"/>
        </w:rPr>
      </w:pPr>
    </w:p>
    <w:p>
      <w:pPr>
        <w:rPr>
          <w:rFonts w:ascii="仿宋_GB2312" w:hAnsi="微软雅黑" w:eastAsia="仿宋_GB2312" w:cs="仿宋_GB2312"/>
          <w:sz w:val="32"/>
          <w:szCs w:val="32"/>
        </w:rPr>
      </w:pPr>
    </w:p>
    <w:p>
      <w:pPr>
        <w:ind w:firstLine="4800" w:firstLineChars="1500"/>
        <w:rPr>
          <w:rFonts w:ascii="仿宋_GB2312" w:hAnsi="微软雅黑" w:eastAsia="仿宋_GB2312"/>
        </w:rPr>
      </w:pPr>
      <w:r>
        <w:rPr>
          <w:rFonts w:hint="eastAsia" w:ascii="仿宋_GB2312" w:hAnsi="微软雅黑" w:eastAsia="仿宋_GB2312" w:cs="仿宋_GB2312"/>
          <w:sz w:val="32"/>
          <w:szCs w:val="32"/>
        </w:rPr>
        <w:t>年    月     日</w:t>
      </w:r>
    </w:p>
    <w:p>
      <w:pPr>
        <w:ind w:right="1280"/>
        <w:rPr>
          <w:rFonts w:ascii="仿宋_GB2312" w:hAnsi="微软雅黑" w:eastAsia="仿宋_GB2312"/>
          <w:b/>
          <w:bCs/>
          <w:sz w:val="32"/>
          <w:szCs w:val="32"/>
        </w:rPr>
      </w:pPr>
      <w:r>
        <w:rPr>
          <w:rFonts w:hint="eastAsia" w:ascii="仿宋_GB2312" w:hAnsi="微软雅黑" w:eastAsia="仿宋_GB2312"/>
          <w:b/>
          <w:bCs/>
          <w:sz w:val="32"/>
          <w:szCs w:val="32"/>
        </w:rPr>
        <w:br w:type="page"/>
      </w:r>
    </w:p>
    <w:p>
      <w:pPr>
        <w:ind w:right="1280"/>
        <w:rPr>
          <w:rFonts w:ascii="仿宋_GB2312" w:hAnsi="仿宋" w:eastAsia="仿宋_GB2312"/>
          <w:sz w:val="32"/>
          <w:szCs w:val="32"/>
        </w:rPr>
      </w:pPr>
      <w:r>
        <w:rPr>
          <w:rFonts w:hint="eastAsia" w:ascii="仿宋_GB2312" w:hAnsi="仿宋" w:eastAsia="仿宋_GB2312"/>
          <w:sz w:val="32"/>
          <w:szCs w:val="32"/>
        </w:rPr>
        <w:t>附件四：评分表</w:t>
      </w:r>
    </w:p>
    <w:tbl>
      <w:tblPr>
        <w:tblStyle w:val="11"/>
        <w:tblW w:w="9356" w:type="dxa"/>
        <w:tblInd w:w="0" w:type="dxa"/>
        <w:tblLayout w:type="autofit"/>
        <w:tblCellMar>
          <w:top w:w="0" w:type="dxa"/>
          <w:left w:w="108" w:type="dxa"/>
          <w:bottom w:w="0" w:type="dxa"/>
          <w:right w:w="108" w:type="dxa"/>
        </w:tblCellMar>
      </w:tblPr>
      <w:tblGrid>
        <w:gridCol w:w="709"/>
        <w:gridCol w:w="851"/>
        <w:gridCol w:w="1134"/>
        <w:gridCol w:w="3402"/>
        <w:gridCol w:w="1559"/>
        <w:gridCol w:w="850"/>
        <w:gridCol w:w="851"/>
      </w:tblGrid>
      <w:tr>
        <w:tblPrEx>
          <w:tblCellMar>
            <w:top w:w="0" w:type="dxa"/>
            <w:left w:w="108" w:type="dxa"/>
            <w:bottom w:w="0" w:type="dxa"/>
            <w:right w:w="108" w:type="dxa"/>
          </w:tblCellMar>
        </w:tblPrEx>
        <w:trPr>
          <w:trHeight w:val="963" w:hRule="atLeast"/>
        </w:trPr>
        <w:tc>
          <w:tcPr>
            <w:tcW w:w="9356" w:type="dxa"/>
            <w:gridSpan w:val="7"/>
            <w:tcBorders>
              <w:top w:val="nil"/>
              <w:left w:val="nil"/>
              <w:bottom w:val="single" w:color="A6A6A6" w:sz="8" w:space="0"/>
              <w:right w:val="nil"/>
            </w:tcBorders>
            <w:shd w:val="clear" w:color="auto" w:fill="auto"/>
            <w:noWrap/>
            <w:vAlign w:val="center"/>
          </w:tcPr>
          <w:p>
            <w:pPr>
              <w:widowControl/>
              <w:jc w:val="center"/>
              <w:rPr>
                <w:rFonts w:ascii="仿宋_GB2312" w:hAnsi="微软雅黑" w:eastAsia="仿宋_GB2312" w:cs="宋体"/>
                <w:b/>
                <w:bCs/>
                <w:color w:val="000000"/>
                <w:w w:val="90"/>
                <w:kern w:val="0"/>
                <w:sz w:val="24"/>
                <w:szCs w:val="28"/>
              </w:rPr>
            </w:pPr>
            <w:r>
              <w:rPr>
                <w:rFonts w:hint="eastAsia" w:ascii="仿宋_GB2312" w:hAnsi="微软雅黑" w:eastAsia="仿宋_GB2312" w:cs="宋体"/>
                <w:b/>
                <w:bCs/>
                <w:color w:val="000000"/>
                <w:w w:val="90"/>
                <w:kern w:val="0"/>
                <w:sz w:val="28"/>
                <w:szCs w:val="28"/>
              </w:rPr>
              <w:t>惠州读者文化园部分房产运营项目运营商评分表</w:t>
            </w:r>
          </w:p>
        </w:tc>
      </w:tr>
      <w:tr>
        <w:tblPrEx>
          <w:tblCellMar>
            <w:top w:w="0" w:type="dxa"/>
            <w:left w:w="108" w:type="dxa"/>
            <w:bottom w:w="0" w:type="dxa"/>
            <w:right w:w="108" w:type="dxa"/>
          </w:tblCellMar>
        </w:tblPrEx>
        <w:trPr>
          <w:trHeight w:val="963" w:hRule="atLeast"/>
        </w:trPr>
        <w:tc>
          <w:tcPr>
            <w:tcW w:w="1560" w:type="dxa"/>
            <w:gridSpan w:val="2"/>
            <w:tcBorders>
              <w:top w:val="single" w:color="A6A6A6" w:sz="8" w:space="0"/>
              <w:left w:val="single" w:color="A6A6A6" w:sz="8" w:space="0"/>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b/>
                <w:bCs/>
                <w:color w:val="000000"/>
                <w:kern w:val="0"/>
                <w:sz w:val="24"/>
                <w:szCs w:val="24"/>
              </w:rPr>
            </w:pPr>
            <w:r>
              <w:rPr>
                <w:rFonts w:hint="eastAsia" w:ascii="仿宋_GB2312" w:hAnsi="微软雅黑" w:eastAsia="仿宋_GB2312" w:cs="宋体"/>
                <w:b/>
                <w:bCs/>
                <w:color w:val="000000"/>
                <w:kern w:val="0"/>
                <w:sz w:val="24"/>
                <w:szCs w:val="24"/>
              </w:rPr>
              <w:t>报名单位名称</w:t>
            </w:r>
          </w:p>
        </w:tc>
        <w:tc>
          <w:tcPr>
            <w:tcW w:w="4536" w:type="dxa"/>
            <w:gridSpan w:val="2"/>
            <w:tcBorders>
              <w:top w:val="single" w:color="A6A6A6" w:sz="8" w:space="0"/>
              <w:left w:val="nil"/>
              <w:bottom w:val="single" w:color="A6A6A6" w:sz="8" w:space="0"/>
              <w:right w:val="single" w:color="A6A6A6" w:sz="8" w:space="0"/>
            </w:tcBorders>
            <w:shd w:val="clear" w:color="auto" w:fill="auto"/>
            <w:noWrap/>
            <w:vAlign w:val="center"/>
          </w:tcPr>
          <w:p>
            <w:pPr>
              <w:widowControl/>
              <w:jc w:val="center"/>
              <w:rPr>
                <w:rFonts w:ascii="仿宋_GB2312" w:hAnsi="微软雅黑" w:eastAsia="仿宋_GB2312" w:cs="宋体"/>
                <w:b/>
                <w:bCs/>
                <w:color w:val="000000"/>
                <w:kern w:val="0"/>
                <w:sz w:val="24"/>
                <w:szCs w:val="24"/>
              </w:rPr>
            </w:pPr>
            <w:r>
              <w:rPr>
                <w:rFonts w:hint="eastAsia" w:ascii="仿宋_GB2312" w:hAnsi="微软雅黑" w:eastAsia="仿宋_GB2312" w:cs="宋体"/>
                <w:b/>
                <w:bCs/>
                <w:color w:val="000000"/>
                <w:kern w:val="0"/>
                <w:sz w:val="24"/>
                <w:szCs w:val="24"/>
              </w:rPr>
              <w:t>　</w:t>
            </w:r>
          </w:p>
        </w:tc>
        <w:tc>
          <w:tcPr>
            <w:tcW w:w="3260" w:type="dxa"/>
            <w:gridSpan w:val="3"/>
            <w:tcBorders>
              <w:top w:val="single" w:color="A6A6A6" w:sz="8" w:space="0"/>
              <w:left w:val="nil"/>
              <w:bottom w:val="single" w:color="A6A6A6" w:sz="8" w:space="0"/>
              <w:right w:val="single" w:color="A6A6A6" w:sz="8" w:space="0"/>
            </w:tcBorders>
            <w:shd w:val="clear" w:color="auto" w:fill="auto"/>
            <w:vAlign w:val="center"/>
          </w:tcPr>
          <w:p>
            <w:pPr>
              <w:widowControl/>
              <w:jc w:val="left"/>
              <w:rPr>
                <w:rFonts w:ascii="仿宋_GB2312" w:hAnsi="微软雅黑" w:eastAsia="仿宋_GB2312" w:cs="宋体"/>
                <w:b/>
                <w:bCs/>
                <w:color w:val="000000"/>
                <w:kern w:val="0"/>
                <w:sz w:val="24"/>
                <w:szCs w:val="24"/>
              </w:rPr>
            </w:pPr>
            <w:r>
              <w:rPr>
                <w:rFonts w:hint="eastAsia" w:ascii="仿宋_GB2312" w:hAnsi="微软雅黑" w:eastAsia="仿宋_GB2312" w:cs="宋体"/>
                <w:b/>
                <w:bCs/>
                <w:color w:val="000000"/>
                <w:kern w:val="0"/>
                <w:sz w:val="24"/>
                <w:szCs w:val="24"/>
              </w:rPr>
              <w:t>评分人　</w:t>
            </w:r>
          </w:p>
        </w:tc>
      </w:tr>
      <w:tr>
        <w:trPr>
          <w:trHeight w:val="523" w:hRule="atLeast"/>
        </w:trPr>
        <w:tc>
          <w:tcPr>
            <w:tcW w:w="709" w:type="dxa"/>
            <w:tcBorders>
              <w:top w:val="nil"/>
              <w:left w:val="single" w:color="A6A6A6" w:sz="8" w:space="0"/>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序号</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项目</w:t>
            </w:r>
          </w:p>
        </w:tc>
        <w:tc>
          <w:tcPr>
            <w:tcW w:w="1134"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依据材料</w:t>
            </w:r>
          </w:p>
        </w:tc>
        <w:tc>
          <w:tcPr>
            <w:tcW w:w="4961" w:type="dxa"/>
            <w:gridSpan w:val="2"/>
            <w:tcBorders>
              <w:top w:val="nil"/>
              <w:left w:val="nil"/>
              <w:bottom w:val="single" w:color="A6A6A6" w:sz="8" w:space="0"/>
              <w:right w:val="single" w:color="A6A6A6" w:sz="8" w:space="0"/>
            </w:tcBorders>
            <w:shd w:val="clear" w:color="auto" w:fill="auto"/>
            <w:noWrap/>
            <w:vAlign w:val="center"/>
          </w:tcPr>
          <w:p>
            <w:pPr>
              <w:widowControl/>
              <w:jc w:val="center"/>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评分标准</w:t>
            </w:r>
          </w:p>
        </w:tc>
        <w:tc>
          <w:tcPr>
            <w:tcW w:w="850"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总分</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得分</w:t>
            </w:r>
          </w:p>
        </w:tc>
      </w:tr>
      <w:tr>
        <w:tblPrEx>
          <w:tblCellMar>
            <w:top w:w="0" w:type="dxa"/>
            <w:left w:w="108" w:type="dxa"/>
            <w:bottom w:w="0" w:type="dxa"/>
            <w:right w:w="108" w:type="dxa"/>
          </w:tblCellMar>
        </w:tblPrEx>
        <w:trPr>
          <w:trHeight w:val="872" w:hRule="atLeast"/>
        </w:trPr>
        <w:tc>
          <w:tcPr>
            <w:tcW w:w="709" w:type="dxa"/>
            <w:tcBorders>
              <w:top w:val="nil"/>
              <w:left w:val="single" w:color="A6A6A6" w:sz="8" w:space="0"/>
              <w:bottom w:val="single" w:color="A6A6A6" w:sz="8" w:space="0"/>
              <w:right w:val="single" w:color="A6A6A6" w:sz="8" w:space="0"/>
            </w:tcBorders>
            <w:shd w:val="clear" w:color="auto" w:fill="auto"/>
            <w:noWrap/>
            <w:vAlign w:val="center"/>
          </w:tcPr>
          <w:p>
            <w:pPr>
              <w:widowControl/>
              <w:jc w:val="center"/>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1</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运营规划</w:t>
            </w:r>
          </w:p>
        </w:tc>
        <w:tc>
          <w:tcPr>
            <w:tcW w:w="1134"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运营方案</w:t>
            </w:r>
          </w:p>
        </w:tc>
        <w:tc>
          <w:tcPr>
            <w:tcW w:w="4961" w:type="dxa"/>
            <w:gridSpan w:val="2"/>
            <w:tcBorders>
              <w:top w:val="nil"/>
              <w:left w:val="nil"/>
              <w:bottom w:val="single" w:color="A6A6A6" w:sz="8" w:space="0"/>
              <w:right w:val="single" w:color="A6A6A6" w:sz="8" w:space="0"/>
            </w:tcBorders>
            <w:shd w:val="clear" w:color="auto" w:fill="auto"/>
            <w:vAlign w:val="center"/>
          </w:tcPr>
          <w:p>
            <w:pPr>
              <w:widowControl/>
              <w:jc w:val="left"/>
              <w:rPr>
                <w:rFonts w:ascii="仿宋_GB2312" w:hAnsi="微软雅黑" w:eastAsia="仿宋_GB2312" w:cs="宋体"/>
                <w:kern w:val="0"/>
                <w:sz w:val="24"/>
              </w:rPr>
            </w:pPr>
            <w:r>
              <w:rPr>
                <w:rFonts w:hint="eastAsia" w:ascii="仿宋_GB2312" w:hAnsi="微软雅黑" w:eastAsia="仿宋_GB2312" w:cs="宋体"/>
                <w:kern w:val="0"/>
                <w:sz w:val="24"/>
              </w:rPr>
              <w:t>根据运营方案中计划合理性、措施可行性等情况酌情打分</w:t>
            </w:r>
          </w:p>
        </w:tc>
        <w:tc>
          <w:tcPr>
            <w:tcW w:w="850" w:type="dxa"/>
            <w:tcBorders>
              <w:top w:val="nil"/>
              <w:left w:val="nil"/>
              <w:bottom w:val="single" w:color="A6A6A6" w:sz="8" w:space="0"/>
              <w:right w:val="single" w:color="A6A6A6" w:sz="8" w:space="0"/>
            </w:tcBorders>
            <w:shd w:val="clear" w:color="auto" w:fill="auto"/>
            <w:noWrap/>
            <w:vAlign w:val="center"/>
          </w:tcPr>
          <w:p>
            <w:pPr>
              <w:widowControl/>
              <w:jc w:val="righ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10</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　</w:t>
            </w:r>
          </w:p>
        </w:tc>
      </w:tr>
      <w:tr>
        <w:tblPrEx>
          <w:tblCellMar>
            <w:top w:w="0" w:type="dxa"/>
            <w:left w:w="108" w:type="dxa"/>
            <w:bottom w:w="0" w:type="dxa"/>
            <w:right w:w="108" w:type="dxa"/>
          </w:tblCellMar>
        </w:tblPrEx>
        <w:trPr>
          <w:trHeight w:val="963" w:hRule="atLeast"/>
        </w:trPr>
        <w:tc>
          <w:tcPr>
            <w:tcW w:w="709" w:type="dxa"/>
            <w:tcBorders>
              <w:top w:val="nil"/>
              <w:left w:val="single" w:color="A6A6A6" w:sz="8" w:space="0"/>
              <w:bottom w:val="single" w:color="A6A6A6" w:sz="8" w:space="0"/>
              <w:right w:val="single" w:color="A6A6A6" w:sz="8" w:space="0"/>
            </w:tcBorders>
            <w:shd w:val="clear" w:color="auto" w:fill="auto"/>
            <w:noWrap/>
            <w:vAlign w:val="center"/>
          </w:tcPr>
          <w:p>
            <w:pPr>
              <w:widowControl/>
              <w:jc w:val="center"/>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2</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财务能力</w:t>
            </w:r>
          </w:p>
        </w:tc>
        <w:tc>
          <w:tcPr>
            <w:tcW w:w="1134"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财务报表</w:t>
            </w:r>
          </w:p>
        </w:tc>
        <w:tc>
          <w:tcPr>
            <w:tcW w:w="4961" w:type="dxa"/>
            <w:gridSpan w:val="2"/>
            <w:tcBorders>
              <w:top w:val="nil"/>
              <w:left w:val="nil"/>
              <w:bottom w:val="single" w:color="A6A6A6" w:sz="8" w:space="0"/>
              <w:right w:val="single" w:color="A6A6A6" w:sz="8" w:space="0"/>
            </w:tcBorders>
            <w:shd w:val="clear" w:color="auto" w:fill="auto"/>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根据资产负债率情况打分，比率最低得4分，比率最高得1分，其余酌情打分；根据流动资产质量酌情打分，货币资金占比最高得6分，占比最低得1分，其余酌情打分；根据经营性现金净流量情况打分，最高6分，最低2分，其余酌情打分；根据净利润情况打分，最高得4分，最低得1分，亏损不得分。</w:t>
            </w:r>
          </w:p>
        </w:tc>
        <w:tc>
          <w:tcPr>
            <w:tcW w:w="850" w:type="dxa"/>
            <w:tcBorders>
              <w:top w:val="nil"/>
              <w:left w:val="nil"/>
              <w:bottom w:val="single" w:color="A6A6A6" w:sz="8" w:space="0"/>
              <w:right w:val="single" w:color="A6A6A6" w:sz="8" w:space="0"/>
            </w:tcBorders>
            <w:shd w:val="clear" w:color="auto" w:fill="auto"/>
            <w:noWrap/>
            <w:vAlign w:val="center"/>
          </w:tcPr>
          <w:p>
            <w:pPr>
              <w:widowControl/>
              <w:jc w:val="righ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20</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　</w:t>
            </w:r>
          </w:p>
        </w:tc>
      </w:tr>
      <w:tr>
        <w:tblPrEx>
          <w:tblCellMar>
            <w:top w:w="0" w:type="dxa"/>
            <w:left w:w="108" w:type="dxa"/>
            <w:bottom w:w="0" w:type="dxa"/>
            <w:right w:w="108" w:type="dxa"/>
          </w:tblCellMar>
        </w:tblPrEx>
        <w:trPr>
          <w:trHeight w:val="963" w:hRule="atLeast"/>
        </w:trPr>
        <w:tc>
          <w:tcPr>
            <w:tcW w:w="709" w:type="dxa"/>
            <w:tcBorders>
              <w:top w:val="nil"/>
              <w:left w:val="single" w:color="A6A6A6" w:sz="8" w:space="0"/>
              <w:bottom w:val="single" w:color="A6A6A6" w:sz="8" w:space="0"/>
              <w:right w:val="single" w:color="A6A6A6" w:sz="8" w:space="0"/>
            </w:tcBorders>
            <w:shd w:val="clear" w:color="auto" w:fill="auto"/>
            <w:noWrap/>
            <w:vAlign w:val="center"/>
          </w:tcPr>
          <w:p>
            <w:pPr>
              <w:widowControl/>
              <w:jc w:val="center"/>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3</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运营能力</w:t>
            </w:r>
          </w:p>
        </w:tc>
        <w:tc>
          <w:tcPr>
            <w:tcW w:w="1134"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团队介绍、业绩</w:t>
            </w:r>
          </w:p>
        </w:tc>
        <w:tc>
          <w:tcPr>
            <w:tcW w:w="4961" w:type="dxa"/>
            <w:gridSpan w:val="2"/>
            <w:tcBorders>
              <w:top w:val="nil"/>
              <w:left w:val="nil"/>
              <w:bottom w:val="single" w:color="A6A6A6" w:sz="8" w:space="0"/>
              <w:right w:val="single" w:color="A6A6A6" w:sz="8" w:space="0"/>
            </w:tcBorders>
            <w:shd w:val="clear" w:color="auto" w:fill="auto"/>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kern w:val="0"/>
                <w:sz w:val="24"/>
              </w:rPr>
              <w:t>根据团队从业经历、人员结构、招商资源等酌情打分，最高8分；</w:t>
            </w:r>
            <w:r>
              <w:rPr>
                <w:rFonts w:hint="eastAsia" w:ascii="仿宋_GB2312" w:hAnsi="微软雅黑" w:eastAsia="仿宋_GB2312" w:cs="宋体"/>
                <w:color w:val="000000"/>
                <w:kern w:val="0"/>
                <w:sz w:val="24"/>
              </w:rPr>
              <w:t>业绩一项2分（附有合同或中标通知书复印件），最高12分</w:t>
            </w:r>
          </w:p>
        </w:tc>
        <w:tc>
          <w:tcPr>
            <w:tcW w:w="850" w:type="dxa"/>
            <w:tcBorders>
              <w:top w:val="nil"/>
              <w:left w:val="nil"/>
              <w:bottom w:val="single" w:color="A6A6A6" w:sz="8" w:space="0"/>
              <w:right w:val="single" w:color="A6A6A6" w:sz="8" w:space="0"/>
            </w:tcBorders>
            <w:shd w:val="clear" w:color="auto" w:fill="auto"/>
            <w:noWrap/>
            <w:vAlign w:val="center"/>
          </w:tcPr>
          <w:p>
            <w:pPr>
              <w:widowControl/>
              <w:jc w:val="righ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20</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　</w:t>
            </w:r>
          </w:p>
        </w:tc>
      </w:tr>
      <w:tr>
        <w:tblPrEx>
          <w:tblCellMar>
            <w:top w:w="0" w:type="dxa"/>
            <w:left w:w="108" w:type="dxa"/>
            <w:bottom w:w="0" w:type="dxa"/>
            <w:right w:w="108" w:type="dxa"/>
          </w:tblCellMar>
        </w:tblPrEx>
        <w:trPr>
          <w:trHeight w:val="1325" w:hRule="atLeast"/>
        </w:trPr>
        <w:tc>
          <w:tcPr>
            <w:tcW w:w="709" w:type="dxa"/>
            <w:tcBorders>
              <w:top w:val="nil"/>
              <w:left w:val="single" w:color="A6A6A6" w:sz="8" w:space="0"/>
              <w:bottom w:val="single" w:color="A6A6A6" w:sz="8" w:space="0"/>
              <w:right w:val="single" w:color="A6A6A6" w:sz="8" w:space="0"/>
            </w:tcBorders>
            <w:shd w:val="clear" w:color="auto" w:fill="auto"/>
            <w:noWrap/>
            <w:vAlign w:val="center"/>
          </w:tcPr>
          <w:p>
            <w:pPr>
              <w:widowControl/>
              <w:jc w:val="center"/>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4</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价格因素</w:t>
            </w:r>
          </w:p>
        </w:tc>
        <w:tc>
          <w:tcPr>
            <w:tcW w:w="1134"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报价表</w:t>
            </w:r>
          </w:p>
        </w:tc>
        <w:tc>
          <w:tcPr>
            <w:tcW w:w="4961" w:type="dxa"/>
            <w:gridSpan w:val="2"/>
            <w:tcBorders>
              <w:top w:val="nil"/>
              <w:left w:val="nil"/>
              <w:bottom w:val="single" w:color="A6A6A6" w:sz="8" w:space="0"/>
              <w:right w:val="single" w:color="A6A6A6" w:sz="8" w:space="0"/>
            </w:tcBorders>
            <w:shd w:val="clear" w:color="auto" w:fill="auto"/>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最后报价最高的价格为基准价，其价格分为满分。其他的价格分统一按照下列公式计算：</w:t>
            </w:r>
          </w:p>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报价得分=(个别报价／评标基准价）×50</w:t>
            </w:r>
          </w:p>
        </w:tc>
        <w:tc>
          <w:tcPr>
            <w:tcW w:w="850" w:type="dxa"/>
            <w:tcBorders>
              <w:top w:val="nil"/>
              <w:left w:val="nil"/>
              <w:bottom w:val="single" w:color="A6A6A6" w:sz="8" w:space="0"/>
              <w:right w:val="single" w:color="A6A6A6" w:sz="8" w:space="0"/>
            </w:tcBorders>
            <w:shd w:val="clear" w:color="auto" w:fill="auto"/>
            <w:noWrap/>
            <w:vAlign w:val="center"/>
          </w:tcPr>
          <w:p>
            <w:pPr>
              <w:widowControl/>
              <w:jc w:val="righ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50</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　</w:t>
            </w:r>
          </w:p>
        </w:tc>
      </w:tr>
      <w:tr>
        <w:tblPrEx>
          <w:tblCellMar>
            <w:top w:w="0" w:type="dxa"/>
            <w:left w:w="108" w:type="dxa"/>
            <w:bottom w:w="0" w:type="dxa"/>
            <w:right w:w="108" w:type="dxa"/>
          </w:tblCellMar>
        </w:tblPrEx>
        <w:trPr>
          <w:trHeight w:val="963" w:hRule="atLeast"/>
        </w:trPr>
        <w:tc>
          <w:tcPr>
            <w:tcW w:w="2694" w:type="dxa"/>
            <w:gridSpan w:val="3"/>
            <w:tcBorders>
              <w:top w:val="single" w:color="A6A6A6" w:sz="8" w:space="0"/>
              <w:left w:val="single" w:color="A6A6A6" w:sz="8" w:space="0"/>
              <w:bottom w:val="single" w:color="A6A6A6" w:sz="8" w:space="0"/>
              <w:right w:val="single" w:color="A6A6A6" w:sz="8" w:space="0"/>
            </w:tcBorders>
            <w:shd w:val="clear" w:color="auto" w:fill="auto"/>
            <w:noWrap/>
            <w:vAlign w:val="center"/>
          </w:tcPr>
          <w:p>
            <w:pPr>
              <w:widowControl/>
              <w:jc w:val="center"/>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合计</w:t>
            </w:r>
          </w:p>
        </w:tc>
        <w:tc>
          <w:tcPr>
            <w:tcW w:w="4961" w:type="dxa"/>
            <w:gridSpan w:val="2"/>
            <w:tcBorders>
              <w:top w:val="nil"/>
              <w:left w:val="nil"/>
              <w:bottom w:val="single" w:color="A6A6A6" w:sz="8" w:space="0"/>
              <w:right w:val="single" w:color="A6A6A6" w:sz="8" w:space="0"/>
            </w:tcBorders>
            <w:shd w:val="clear" w:color="auto" w:fill="auto"/>
            <w:noWrap/>
            <w:vAlign w:val="center"/>
          </w:tcPr>
          <w:p>
            <w:pPr>
              <w:widowControl/>
              <w:jc w:val="center"/>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　</w:t>
            </w:r>
          </w:p>
        </w:tc>
        <w:tc>
          <w:tcPr>
            <w:tcW w:w="850" w:type="dxa"/>
            <w:tcBorders>
              <w:top w:val="nil"/>
              <w:left w:val="nil"/>
              <w:bottom w:val="single" w:color="A6A6A6" w:sz="8" w:space="0"/>
              <w:right w:val="single" w:color="A6A6A6" w:sz="8" w:space="0"/>
            </w:tcBorders>
            <w:shd w:val="clear" w:color="auto" w:fill="auto"/>
            <w:noWrap/>
            <w:vAlign w:val="center"/>
          </w:tcPr>
          <w:p>
            <w:pPr>
              <w:widowControl/>
              <w:jc w:val="righ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100</w:t>
            </w:r>
          </w:p>
        </w:tc>
        <w:tc>
          <w:tcPr>
            <w:tcW w:w="851" w:type="dxa"/>
            <w:tcBorders>
              <w:top w:val="nil"/>
              <w:left w:val="nil"/>
              <w:bottom w:val="single" w:color="A6A6A6" w:sz="8" w:space="0"/>
              <w:right w:val="single" w:color="A6A6A6" w:sz="8" w:space="0"/>
            </w:tcBorders>
            <w:shd w:val="clear" w:color="auto" w:fill="auto"/>
            <w:noWrap/>
            <w:vAlign w:val="center"/>
          </w:tcPr>
          <w:p>
            <w:pPr>
              <w:widowControl/>
              <w:jc w:val="left"/>
              <w:rPr>
                <w:rFonts w:ascii="仿宋_GB2312" w:hAnsi="微软雅黑" w:eastAsia="仿宋_GB2312" w:cs="宋体"/>
                <w:color w:val="000000"/>
                <w:kern w:val="0"/>
                <w:sz w:val="24"/>
              </w:rPr>
            </w:pPr>
            <w:r>
              <w:rPr>
                <w:rFonts w:hint="eastAsia" w:ascii="仿宋_GB2312" w:hAnsi="微软雅黑" w:eastAsia="仿宋_GB2312" w:cs="宋体"/>
                <w:color w:val="000000"/>
                <w:kern w:val="0"/>
                <w:sz w:val="24"/>
              </w:rPr>
              <w:t>　</w:t>
            </w:r>
          </w:p>
        </w:tc>
      </w:tr>
      <w:tr>
        <w:tblPrEx>
          <w:tblCellMar>
            <w:top w:w="0" w:type="dxa"/>
            <w:left w:w="108" w:type="dxa"/>
            <w:bottom w:w="0" w:type="dxa"/>
            <w:right w:w="108" w:type="dxa"/>
          </w:tblCellMar>
        </w:tblPrEx>
        <w:trPr>
          <w:trHeight w:val="963" w:hRule="atLeast"/>
        </w:trPr>
        <w:tc>
          <w:tcPr>
            <w:tcW w:w="9356" w:type="dxa"/>
            <w:gridSpan w:val="7"/>
            <w:tcBorders>
              <w:top w:val="single" w:color="A6A6A6" w:sz="8" w:space="0"/>
              <w:left w:val="nil"/>
              <w:bottom w:val="nil"/>
              <w:right w:val="nil"/>
            </w:tcBorders>
            <w:shd w:val="clear" w:color="auto" w:fill="auto"/>
            <w:noWrap/>
            <w:vAlign w:val="center"/>
          </w:tcPr>
          <w:p>
            <w:pPr>
              <w:widowControl/>
              <w:jc w:val="left"/>
              <w:rPr>
                <w:rFonts w:ascii="仿宋_GB2312" w:hAnsi="微软雅黑" w:eastAsia="仿宋_GB2312" w:cs="宋体"/>
                <w:color w:val="000000"/>
                <w:kern w:val="0"/>
                <w:sz w:val="24"/>
                <w:szCs w:val="16"/>
              </w:rPr>
            </w:pPr>
            <w:r>
              <w:rPr>
                <w:rFonts w:hint="eastAsia" w:ascii="仿宋_GB2312" w:hAnsi="微软雅黑" w:eastAsia="仿宋_GB2312" w:cs="宋体"/>
                <w:color w:val="000000"/>
                <w:kern w:val="0"/>
                <w:sz w:val="24"/>
                <w:szCs w:val="16"/>
              </w:rPr>
              <w:t>注：1、报价为数字加年增长率的，按照中国货币网公布的十年期国债收益率进行折现计算。（http://www.chinamoney.com.cn/chinese/sddsintigy/）</w:t>
            </w:r>
          </w:p>
          <w:p>
            <w:pPr>
              <w:widowControl/>
              <w:jc w:val="left"/>
              <w:rPr>
                <w:rFonts w:ascii="仿宋_GB2312" w:hAnsi="微软雅黑" w:eastAsia="仿宋_GB2312" w:cs="宋体"/>
                <w:color w:val="000000"/>
                <w:kern w:val="0"/>
                <w:sz w:val="24"/>
                <w:szCs w:val="16"/>
              </w:rPr>
            </w:pPr>
            <w:r>
              <w:rPr>
                <w:rFonts w:hint="eastAsia" w:ascii="仿宋_GB2312" w:hAnsi="微软雅黑" w:eastAsia="仿宋_GB2312" w:cs="宋体"/>
                <w:color w:val="000000"/>
                <w:kern w:val="0"/>
                <w:sz w:val="24"/>
                <w:szCs w:val="16"/>
              </w:rPr>
              <w:t>2、由评审人员按照此表项目进行打分，报名单位最后得分=（∑各评委单独评分）/评委人数</w:t>
            </w:r>
          </w:p>
        </w:tc>
      </w:tr>
    </w:tbl>
    <w:p>
      <w:pPr>
        <w:rPr>
          <w:rFonts w:ascii="仿宋_GB2312" w:hAnsi="仿宋" w:eastAsia="仿宋_GB2312"/>
          <w:sz w:val="32"/>
          <w:szCs w:val="32"/>
        </w:rPr>
      </w:pPr>
    </w:p>
    <w:sectPr>
      <w:footerReference r:id="rId4" w:type="default"/>
      <w:pgSz w:w="11906" w:h="16838"/>
      <w:pgMar w:top="1276" w:right="1800" w:bottom="14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2"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Segoe UI Symbol">
    <w:panose1 w:val="020B0502040204020203"/>
    <w:charset w:val="00"/>
    <w:family w:val="swiss"/>
    <w:pitch w:val="default"/>
    <w:sig w:usb0="800001E3" w:usb1="1200FFEF" w:usb2="00040000" w:usb3="04000000" w:csb0="00000001" w:csb1="4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6217298"/>
      <w:docPartObj>
        <w:docPartGallery w:val="autotext"/>
      </w:docPartObj>
    </w:sdtPr>
    <w:sdtContent>
      <w:p>
        <w:pPr>
          <w:pStyle w:val="8"/>
          <w:jc w:val="center"/>
        </w:pPr>
        <w:r>
          <w:fldChar w:fldCharType="begin"/>
        </w:r>
        <w:r>
          <w:instrText xml:space="preserve"> PAGE   \* MERGEFORMAT </w:instrText>
        </w:r>
        <w:r>
          <w:fldChar w:fldCharType="separate"/>
        </w:r>
        <w:r>
          <w:rPr>
            <w:lang w:val="zh-CN"/>
          </w:rPr>
          <w:t>11</w:t>
        </w:r>
        <w:r>
          <w:rPr>
            <w:lang w:val="zh-CN"/>
          </w:rP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509946"/>
      <w:docPartObj>
        <w:docPartGallery w:val="autotext"/>
      </w:docPartObj>
    </w:sdtPr>
    <w:sdtContent>
      <w:p>
        <w:pPr>
          <w:pStyle w:val="8"/>
          <w:jc w:val="center"/>
        </w:pPr>
        <w:r>
          <w:fldChar w:fldCharType="begin"/>
        </w:r>
        <w:r>
          <w:instrText xml:space="preserve"> PAGE   \* MERGEFORMAT </w:instrText>
        </w:r>
        <w:r>
          <w:fldChar w:fldCharType="separate"/>
        </w:r>
        <w:r>
          <w:rPr>
            <w:lang w:val="zh-CN"/>
          </w:rPr>
          <w:t>12</w:t>
        </w:r>
        <w:r>
          <w:rPr>
            <w:lang w:val="zh-CN"/>
          </w:rP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1C9"/>
    <w:rsid w:val="00006377"/>
    <w:rsid w:val="000138F2"/>
    <w:rsid w:val="00031140"/>
    <w:rsid w:val="00040EC4"/>
    <w:rsid w:val="000421CE"/>
    <w:rsid w:val="00045216"/>
    <w:rsid w:val="00046E56"/>
    <w:rsid w:val="00061E60"/>
    <w:rsid w:val="000705D2"/>
    <w:rsid w:val="00071D53"/>
    <w:rsid w:val="00084FD0"/>
    <w:rsid w:val="000B1FFE"/>
    <w:rsid w:val="000C33E2"/>
    <w:rsid w:val="000D1ACB"/>
    <w:rsid w:val="000E03DB"/>
    <w:rsid w:val="000E51EB"/>
    <w:rsid w:val="000F51C9"/>
    <w:rsid w:val="000F6A6D"/>
    <w:rsid w:val="00103424"/>
    <w:rsid w:val="001042B7"/>
    <w:rsid w:val="00105F5C"/>
    <w:rsid w:val="00107375"/>
    <w:rsid w:val="00110C71"/>
    <w:rsid w:val="00111B56"/>
    <w:rsid w:val="001166FD"/>
    <w:rsid w:val="00120628"/>
    <w:rsid w:val="00127953"/>
    <w:rsid w:val="00130C79"/>
    <w:rsid w:val="00136F6B"/>
    <w:rsid w:val="00157306"/>
    <w:rsid w:val="001746B5"/>
    <w:rsid w:val="001863D4"/>
    <w:rsid w:val="0018790A"/>
    <w:rsid w:val="001A3A37"/>
    <w:rsid w:val="001A76A1"/>
    <w:rsid w:val="001B44C9"/>
    <w:rsid w:val="001B7E42"/>
    <w:rsid w:val="001C7E60"/>
    <w:rsid w:val="001D12C2"/>
    <w:rsid w:val="001D4965"/>
    <w:rsid w:val="001D586F"/>
    <w:rsid w:val="001E38D4"/>
    <w:rsid w:val="001E4F09"/>
    <w:rsid w:val="001F3551"/>
    <w:rsid w:val="001F6D25"/>
    <w:rsid w:val="00201D5B"/>
    <w:rsid w:val="00202E08"/>
    <w:rsid w:val="00203D3A"/>
    <w:rsid w:val="00203EDF"/>
    <w:rsid w:val="00215399"/>
    <w:rsid w:val="002360B2"/>
    <w:rsid w:val="00252730"/>
    <w:rsid w:val="00257737"/>
    <w:rsid w:val="002729F8"/>
    <w:rsid w:val="002821DD"/>
    <w:rsid w:val="002A5A16"/>
    <w:rsid w:val="002B599F"/>
    <w:rsid w:val="002B5AC3"/>
    <w:rsid w:val="002B76D3"/>
    <w:rsid w:val="002C68FA"/>
    <w:rsid w:val="002D1531"/>
    <w:rsid w:val="002D6AA6"/>
    <w:rsid w:val="002E09E4"/>
    <w:rsid w:val="002E317D"/>
    <w:rsid w:val="002F0210"/>
    <w:rsid w:val="002F35AD"/>
    <w:rsid w:val="002F4375"/>
    <w:rsid w:val="00325DD1"/>
    <w:rsid w:val="00342EDB"/>
    <w:rsid w:val="00347841"/>
    <w:rsid w:val="00393828"/>
    <w:rsid w:val="00395333"/>
    <w:rsid w:val="003A05F8"/>
    <w:rsid w:val="003B5E6E"/>
    <w:rsid w:val="003C721D"/>
    <w:rsid w:val="003D3863"/>
    <w:rsid w:val="003E0842"/>
    <w:rsid w:val="003E27D2"/>
    <w:rsid w:val="003E670A"/>
    <w:rsid w:val="003F65B9"/>
    <w:rsid w:val="00402604"/>
    <w:rsid w:val="00403385"/>
    <w:rsid w:val="00405A9F"/>
    <w:rsid w:val="00415618"/>
    <w:rsid w:val="00427594"/>
    <w:rsid w:val="004275A7"/>
    <w:rsid w:val="00440149"/>
    <w:rsid w:val="00453532"/>
    <w:rsid w:val="00463F7C"/>
    <w:rsid w:val="00471E79"/>
    <w:rsid w:val="0047321B"/>
    <w:rsid w:val="00477D36"/>
    <w:rsid w:val="0048464B"/>
    <w:rsid w:val="00484EDA"/>
    <w:rsid w:val="00493664"/>
    <w:rsid w:val="004A30E4"/>
    <w:rsid w:val="004A410D"/>
    <w:rsid w:val="004A4391"/>
    <w:rsid w:val="004B51A0"/>
    <w:rsid w:val="004C1D74"/>
    <w:rsid w:val="004C7315"/>
    <w:rsid w:val="004E0660"/>
    <w:rsid w:val="004F7A18"/>
    <w:rsid w:val="00505B02"/>
    <w:rsid w:val="00511DC1"/>
    <w:rsid w:val="00521B97"/>
    <w:rsid w:val="00521D26"/>
    <w:rsid w:val="00525D4D"/>
    <w:rsid w:val="00526408"/>
    <w:rsid w:val="00531CAA"/>
    <w:rsid w:val="00531FB0"/>
    <w:rsid w:val="00537316"/>
    <w:rsid w:val="0054069D"/>
    <w:rsid w:val="0054746C"/>
    <w:rsid w:val="005501B1"/>
    <w:rsid w:val="00560256"/>
    <w:rsid w:val="005637AC"/>
    <w:rsid w:val="00587C56"/>
    <w:rsid w:val="005A2EF0"/>
    <w:rsid w:val="005A71C2"/>
    <w:rsid w:val="005B183E"/>
    <w:rsid w:val="005B36C3"/>
    <w:rsid w:val="005C6D54"/>
    <w:rsid w:val="005D0C29"/>
    <w:rsid w:val="005D2B5E"/>
    <w:rsid w:val="005E0DE3"/>
    <w:rsid w:val="005E5710"/>
    <w:rsid w:val="005F1FE3"/>
    <w:rsid w:val="005F64A2"/>
    <w:rsid w:val="00602B20"/>
    <w:rsid w:val="00603E59"/>
    <w:rsid w:val="006042D1"/>
    <w:rsid w:val="00605F8D"/>
    <w:rsid w:val="0061029B"/>
    <w:rsid w:val="006215CD"/>
    <w:rsid w:val="00625C8E"/>
    <w:rsid w:val="00625FA4"/>
    <w:rsid w:val="00634383"/>
    <w:rsid w:val="0064084A"/>
    <w:rsid w:val="00643B68"/>
    <w:rsid w:val="00647B54"/>
    <w:rsid w:val="006520C3"/>
    <w:rsid w:val="0065256B"/>
    <w:rsid w:val="00653539"/>
    <w:rsid w:val="00653EDC"/>
    <w:rsid w:val="00672FFB"/>
    <w:rsid w:val="00681F14"/>
    <w:rsid w:val="00684C2E"/>
    <w:rsid w:val="0068529E"/>
    <w:rsid w:val="0069104E"/>
    <w:rsid w:val="006A3A7A"/>
    <w:rsid w:val="006A47D7"/>
    <w:rsid w:val="006B1384"/>
    <w:rsid w:val="006B5151"/>
    <w:rsid w:val="006B657A"/>
    <w:rsid w:val="006B7DBA"/>
    <w:rsid w:val="006D12D5"/>
    <w:rsid w:val="006D4D02"/>
    <w:rsid w:val="006F0A30"/>
    <w:rsid w:val="006F6B3D"/>
    <w:rsid w:val="007001F9"/>
    <w:rsid w:val="007052BF"/>
    <w:rsid w:val="00713F0C"/>
    <w:rsid w:val="0071473E"/>
    <w:rsid w:val="007200FA"/>
    <w:rsid w:val="00721CCB"/>
    <w:rsid w:val="0072431D"/>
    <w:rsid w:val="00726990"/>
    <w:rsid w:val="00735C1E"/>
    <w:rsid w:val="007566F8"/>
    <w:rsid w:val="00764844"/>
    <w:rsid w:val="0077656F"/>
    <w:rsid w:val="00781688"/>
    <w:rsid w:val="007A348D"/>
    <w:rsid w:val="007A63E6"/>
    <w:rsid w:val="007A7CBE"/>
    <w:rsid w:val="007B0915"/>
    <w:rsid w:val="007C0FA1"/>
    <w:rsid w:val="007C6507"/>
    <w:rsid w:val="007C6B85"/>
    <w:rsid w:val="007D2773"/>
    <w:rsid w:val="007E7989"/>
    <w:rsid w:val="00801AF5"/>
    <w:rsid w:val="00803605"/>
    <w:rsid w:val="00803DD5"/>
    <w:rsid w:val="008143AB"/>
    <w:rsid w:val="00824FE9"/>
    <w:rsid w:val="00843699"/>
    <w:rsid w:val="00844800"/>
    <w:rsid w:val="0084498C"/>
    <w:rsid w:val="00852C01"/>
    <w:rsid w:val="00855E01"/>
    <w:rsid w:val="00874344"/>
    <w:rsid w:val="0087528E"/>
    <w:rsid w:val="0087638B"/>
    <w:rsid w:val="008A11B7"/>
    <w:rsid w:val="008B2BFF"/>
    <w:rsid w:val="008B5D5C"/>
    <w:rsid w:val="008B705F"/>
    <w:rsid w:val="008C656C"/>
    <w:rsid w:val="008D1862"/>
    <w:rsid w:val="008E515E"/>
    <w:rsid w:val="008F4A1F"/>
    <w:rsid w:val="008F73C6"/>
    <w:rsid w:val="0090706B"/>
    <w:rsid w:val="009120C6"/>
    <w:rsid w:val="00913662"/>
    <w:rsid w:val="00930CE9"/>
    <w:rsid w:val="00932DA9"/>
    <w:rsid w:val="009403EA"/>
    <w:rsid w:val="00947D6F"/>
    <w:rsid w:val="009618C4"/>
    <w:rsid w:val="00963D03"/>
    <w:rsid w:val="00964026"/>
    <w:rsid w:val="009720A1"/>
    <w:rsid w:val="00982425"/>
    <w:rsid w:val="00994BBD"/>
    <w:rsid w:val="009961FE"/>
    <w:rsid w:val="009A385A"/>
    <w:rsid w:val="009A7BFE"/>
    <w:rsid w:val="009B6764"/>
    <w:rsid w:val="009C0BAC"/>
    <w:rsid w:val="009C6769"/>
    <w:rsid w:val="009D1BCB"/>
    <w:rsid w:val="009F3CF0"/>
    <w:rsid w:val="00A243CC"/>
    <w:rsid w:val="00A25D72"/>
    <w:rsid w:val="00A313BD"/>
    <w:rsid w:val="00A31C7A"/>
    <w:rsid w:val="00A33896"/>
    <w:rsid w:val="00A35725"/>
    <w:rsid w:val="00A35D49"/>
    <w:rsid w:val="00A3715E"/>
    <w:rsid w:val="00A40023"/>
    <w:rsid w:val="00A41318"/>
    <w:rsid w:val="00A46705"/>
    <w:rsid w:val="00A502CE"/>
    <w:rsid w:val="00A528A5"/>
    <w:rsid w:val="00A60DAA"/>
    <w:rsid w:val="00A611BC"/>
    <w:rsid w:val="00A77F7F"/>
    <w:rsid w:val="00A83A31"/>
    <w:rsid w:val="00A8648E"/>
    <w:rsid w:val="00AA535F"/>
    <w:rsid w:val="00AA663C"/>
    <w:rsid w:val="00AD1CCD"/>
    <w:rsid w:val="00AE6BA6"/>
    <w:rsid w:val="00B05893"/>
    <w:rsid w:val="00B10985"/>
    <w:rsid w:val="00B25642"/>
    <w:rsid w:val="00B3105B"/>
    <w:rsid w:val="00B32F30"/>
    <w:rsid w:val="00B36329"/>
    <w:rsid w:val="00B400A7"/>
    <w:rsid w:val="00B40691"/>
    <w:rsid w:val="00B41F8F"/>
    <w:rsid w:val="00B46B56"/>
    <w:rsid w:val="00B91B41"/>
    <w:rsid w:val="00B920AB"/>
    <w:rsid w:val="00B92B13"/>
    <w:rsid w:val="00BA61B4"/>
    <w:rsid w:val="00BA7E4D"/>
    <w:rsid w:val="00BB2524"/>
    <w:rsid w:val="00BD0537"/>
    <w:rsid w:val="00BD405B"/>
    <w:rsid w:val="00C02E79"/>
    <w:rsid w:val="00C1121B"/>
    <w:rsid w:val="00C1434D"/>
    <w:rsid w:val="00C16AB6"/>
    <w:rsid w:val="00C27992"/>
    <w:rsid w:val="00C332F5"/>
    <w:rsid w:val="00C42961"/>
    <w:rsid w:val="00C552F9"/>
    <w:rsid w:val="00C55365"/>
    <w:rsid w:val="00C70A6A"/>
    <w:rsid w:val="00C71E35"/>
    <w:rsid w:val="00C81FC7"/>
    <w:rsid w:val="00C9030D"/>
    <w:rsid w:val="00CA11CC"/>
    <w:rsid w:val="00CA7EC0"/>
    <w:rsid w:val="00CB05D6"/>
    <w:rsid w:val="00CC60CD"/>
    <w:rsid w:val="00CD1DEA"/>
    <w:rsid w:val="00CD3227"/>
    <w:rsid w:val="00CD507C"/>
    <w:rsid w:val="00CF07E3"/>
    <w:rsid w:val="00CF55AE"/>
    <w:rsid w:val="00CF5752"/>
    <w:rsid w:val="00D1376A"/>
    <w:rsid w:val="00D23C5C"/>
    <w:rsid w:val="00D2451D"/>
    <w:rsid w:val="00D33B8A"/>
    <w:rsid w:val="00D4053B"/>
    <w:rsid w:val="00D40FC7"/>
    <w:rsid w:val="00D52C83"/>
    <w:rsid w:val="00D62C12"/>
    <w:rsid w:val="00D64D7B"/>
    <w:rsid w:val="00D842FC"/>
    <w:rsid w:val="00D85A7A"/>
    <w:rsid w:val="00D927D3"/>
    <w:rsid w:val="00D947E7"/>
    <w:rsid w:val="00DA4004"/>
    <w:rsid w:val="00DA45ED"/>
    <w:rsid w:val="00DB6DF6"/>
    <w:rsid w:val="00DC0A4C"/>
    <w:rsid w:val="00DC5385"/>
    <w:rsid w:val="00DE184E"/>
    <w:rsid w:val="00DE6A26"/>
    <w:rsid w:val="00E3749B"/>
    <w:rsid w:val="00E41107"/>
    <w:rsid w:val="00E436C5"/>
    <w:rsid w:val="00E46F48"/>
    <w:rsid w:val="00E728C1"/>
    <w:rsid w:val="00E95B6D"/>
    <w:rsid w:val="00EA0AF5"/>
    <w:rsid w:val="00EC2323"/>
    <w:rsid w:val="00EC3DC6"/>
    <w:rsid w:val="00EE00C1"/>
    <w:rsid w:val="00EE7C52"/>
    <w:rsid w:val="00EF41B7"/>
    <w:rsid w:val="00F06D65"/>
    <w:rsid w:val="00F06E59"/>
    <w:rsid w:val="00F074CB"/>
    <w:rsid w:val="00F13EC8"/>
    <w:rsid w:val="00F15007"/>
    <w:rsid w:val="00F161FF"/>
    <w:rsid w:val="00F27EF5"/>
    <w:rsid w:val="00F3209D"/>
    <w:rsid w:val="00F4370E"/>
    <w:rsid w:val="00F562DC"/>
    <w:rsid w:val="00F62777"/>
    <w:rsid w:val="00F84790"/>
    <w:rsid w:val="00F91446"/>
    <w:rsid w:val="00F91F24"/>
    <w:rsid w:val="00FA22E5"/>
    <w:rsid w:val="00FA3EE8"/>
    <w:rsid w:val="00FB0222"/>
    <w:rsid w:val="00FC07C7"/>
    <w:rsid w:val="00FD06C5"/>
    <w:rsid w:val="00FD4A22"/>
    <w:rsid w:val="00FE4983"/>
    <w:rsid w:val="00FE55EF"/>
    <w:rsid w:val="00FE5BF2"/>
    <w:rsid w:val="00FE7AE9"/>
    <w:rsid w:val="00FF5E8C"/>
    <w:rsid w:val="00FF6706"/>
    <w:rsid w:val="115B0970"/>
    <w:rsid w:val="17347B09"/>
    <w:rsid w:val="18C8063D"/>
    <w:rsid w:val="1A7A0749"/>
    <w:rsid w:val="4FD1616E"/>
    <w:rsid w:val="58F20481"/>
    <w:rsid w:val="67EE4746"/>
    <w:rsid w:val="67FA56DC"/>
    <w:rsid w:val="6B456583"/>
    <w:rsid w:val="6FB82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0"/>
    <w:semiHidden/>
    <w:unhideWhenUsed/>
    <w:qFormat/>
    <w:uiPriority w:val="99"/>
    <w:pPr>
      <w:jc w:val="left"/>
    </w:pPr>
  </w:style>
  <w:style w:type="paragraph" w:styleId="5">
    <w:name w:val="Body Text"/>
    <w:basedOn w:val="1"/>
    <w:link w:val="18"/>
    <w:qFormat/>
    <w:uiPriority w:val="0"/>
    <w:pPr>
      <w:widowControl/>
      <w:adjustRightInd w:val="0"/>
      <w:snapToGrid w:val="0"/>
      <w:spacing w:after="120"/>
      <w:jc w:val="left"/>
    </w:pPr>
    <w:rPr>
      <w:rFonts w:ascii="Tahoma" w:hAnsi="Tahoma" w:eastAsia="微软雅黑" w:cs="Times New Roman"/>
      <w:kern w:val="0"/>
      <w:sz w:val="22"/>
    </w:rPr>
  </w:style>
  <w:style w:type="paragraph" w:styleId="6">
    <w:name w:val="Date"/>
    <w:basedOn w:val="1"/>
    <w:next w:val="1"/>
    <w:link w:val="17"/>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annotation subject"/>
    <w:basedOn w:val="4"/>
    <w:next w:val="4"/>
    <w:link w:val="21"/>
    <w:semiHidden/>
    <w:unhideWhenUsed/>
    <w:qFormat/>
    <w:uiPriority w:val="99"/>
    <w:rPr>
      <w:b/>
      <w:bCs/>
    </w:rPr>
  </w:style>
  <w:style w:type="character" w:styleId="13">
    <w:name w:val="FollowedHyperlink"/>
    <w:basedOn w:val="12"/>
    <w:semiHidden/>
    <w:unhideWhenUsed/>
    <w:qFormat/>
    <w:uiPriority w:val="99"/>
    <w:rPr>
      <w:color w:val="954F72" w:themeColor="followedHyperlink"/>
      <w:u w:val="single"/>
      <w14:textFill>
        <w14:solidFill>
          <w14:schemeClr w14:val="folHlink"/>
        </w14:solidFill>
      </w14:textFill>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styleId="15">
    <w:name w:val="annotation reference"/>
    <w:basedOn w:val="12"/>
    <w:semiHidden/>
    <w:unhideWhenUsed/>
    <w:qFormat/>
    <w:uiPriority w:val="99"/>
    <w:rPr>
      <w:sz w:val="21"/>
      <w:szCs w:val="21"/>
    </w:rPr>
  </w:style>
  <w:style w:type="paragraph" w:styleId="16">
    <w:name w:val="List Paragraph"/>
    <w:basedOn w:val="1"/>
    <w:qFormat/>
    <w:uiPriority w:val="34"/>
    <w:pPr>
      <w:ind w:firstLine="420" w:firstLineChars="200"/>
    </w:pPr>
  </w:style>
  <w:style w:type="character" w:customStyle="1" w:styleId="17">
    <w:name w:val="日期 Char"/>
    <w:basedOn w:val="12"/>
    <w:link w:val="6"/>
    <w:semiHidden/>
    <w:qFormat/>
    <w:uiPriority w:val="99"/>
  </w:style>
  <w:style w:type="character" w:customStyle="1" w:styleId="18">
    <w:name w:val="正文文本 Char"/>
    <w:basedOn w:val="12"/>
    <w:link w:val="5"/>
    <w:qFormat/>
    <w:uiPriority w:val="0"/>
    <w:rPr>
      <w:rFonts w:ascii="Tahoma" w:hAnsi="Tahoma" w:eastAsia="微软雅黑" w:cs="Times New Roman"/>
      <w:kern w:val="0"/>
      <w:sz w:val="22"/>
    </w:rPr>
  </w:style>
  <w:style w:type="character" w:customStyle="1" w:styleId="19">
    <w:name w:val="批注框文本 Char"/>
    <w:basedOn w:val="12"/>
    <w:link w:val="7"/>
    <w:semiHidden/>
    <w:qFormat/>
    <w:uiPriority w:val="99"/>
    <w:rPr>
      <w:sz w:val="18"/>
      <w:szCs w:val="18"/>
    </w:rPr>
  </w:style>
  <w:style w:type="character" w:customStyle="1" w:styleId="20">
    <w:name w:val="批注文字 Char"/>
    <w:basedOn w:val="12"/>
    <w:link w:val="4"/>
    <w:semiHidden/>
    <w:qFormat/>
    <w:uiPriority w:val="99"/>
  </w:style>
  <w:style w:type="character" w:customStyle="1" w:styleId="21">
    <w:name w:val="批注主题 Char"/>
    <w:basedOn w:val="20"/>
    <w:link w:val="10"/>
    <w:semiHidden/>
    <w:qFormat/>
    <w:uiPriority w:val="99"/>
    <w:rPr>
      <w:b/>
      <w:bCs/>
    </w:rPr>
  </w:style>
  <w:style w:type="character" w:customStyle="1" w:styleId="22">
    <w:name w:val="页眉 Char"/>
    <w:basedOn w:val="12"/>
    <w:link w:val="9"/>
    <w:qFormat/>
    <w:uiPriority w:val="99"/>
    <w:rPr>
      <w:sz w:val="18"/>
      <w:szCs w:val="18"/>
    </w:rPr>
  </w:style>
  <w:style w:type="character" w:customStyle="1" w:styleId="23">
    <w:name w:val="页脚 Char"/>
    <w:basedOn w:val="12"/>
    <w:link w:val="8"/>
    <w:qFormat/>
    <w:uiPriority w:val="99"/>
    <w:rPr>
      <w:sz w:val="18"/>
      <w:szCs w:val="18"/>
    </w:rPr>
  </w:style>
  <w:style w:type="character" w:customStyle="1" w:styleId="24">
    <w:name w:val="标题 1 Char"/>
    <w:basedOn w:val="12"/>
    <w:link w:val="2"/>
    <w:qFormat/>
    <w:uiPriority w:val="9"/>
    <w:rPr>
      <w:b/>
      <w:bCs/>
      <w:kern w:val="44"/>
      <w:sz w:val="44"/>
      <w:szCs w:val="44"/>
    </w:rPr>
  </w:style>
  <w:style w:type="character" w:customStyle="1" w:styleId="25">
    <w:name w:val="标题 2 Char"/>
    <w:basedOn w:val="12"/>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C368CA-BFAB-45B5-AA31-C03C6D1BD5A8}">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15</Pages>
  <Words>838</Words>
  <Characters>4779</Characters>
  <Lines>39</Lines>
  <Paragraphs>11</Paragraphs>
  <TotalTime>0</TotalTime>
  <ScaleCrop>false</ScaleCrop>
  <LinksUpToDate>false</LinksUpToDate>
  <CharactersWithSpaces>5606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2022-01-06T08:45:00Z</dcterms:created>
  <dc:creator>li guoliang</dc:creator>
  <cp:lastModifiedBy>LY.</cp:lastModifiedBy>
  <cp:lastPrinted>2022-01-05T01:18:00Z</cp:lastPrinted>
  <dcterms:modified xsi:type="dcterms:W3CDTF">2022-01-06T10:22:14Z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0FB424A694264C648E28F1672496A710</vt:lpwstr>
  </property>
</Properties>
</file>